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word/header4.xml" ContentType="application/vnd.openxmlformats-officedocument.wordprocessingml.head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B0C4E" w:rsidRDefault="005B0C4E">
      <w:pPr>
        <w:spacing w:line="199" w:lineRule="auto"/>
        <w:jc w:val="both"/>
      </w:pPr>
    </w:p>
    <w:p w:rsidR="005B0C4E" w:rsidRDefault="005B0C4E">
      <w:pPr>
        <w:spacing w:line="199" w:lineRule="auto"/>
        <w:jc w:val="both"/>
      </w:pPr>
    </w:p>
    <w:p w:rsidR="005B0C4E" w:rsidRDefault="005B0C4E">
      <w:pPr>
        <w:spacing w:line="199" w:lineRule="auto"/>
        <w:jc w:val="both"/>
      </w:pPr>
    </w:p>
    <w:p w:rsidR="008443D8" w:rsidRDefault="008443D8">
      <w:pPr>
        <w:pStyle w:val="BodyText"/>
        <w:rPr>
          <w:sz w:val="20"/>
        </w:rPr>
      </w:pPr>
      <w:bookmarkStart w:id="0" w:name="The_analytic_utility_of_distinguishing_f"/>
      <w:bookmarkEnd w:id="0"/>
    </w:p>
    <w:p w:rsidR="008443D8" w:rsidRDefault="008443D8">
      <w:pPr>
        <w:pStyle w:val="BodyText"/>
        <w:spacing w:before="13"/>
        <w:rPr>
          <w:sz w:val="20"/>
        </w:rPr>
      </w:pPr>
    </w:p>
    <w:p w:rsidR="008443D8" w:rsidRDefault="00B73390">
      <w:pPr>
        <w:pStyle w:val="Heading2"/>
        <w:spacing w:line="235" w:lineRule="auto"/>
        <w:ind w:left="108" w:right="82"/>
      </w:pPr>
      <w:r>
        <w:rPr>
          <w:color w:val="DF3E31"/>
        </w:rPr>
        <w:t>The analytic utility of distinguishing fighting from dying</w:t>
      </w:r>
    </w:p>
    <w:p w:rsidR="008443D8" w:rsidRDefault="00A63B8F">
      <w:pPr>
        <w:pStyle w:val="BodyText"/>
        <w:spacing w:before="8"/>
        <w:rPr>
          <w:rFonts w:ascii="Arial"/>
          <w:sz w:val="22"/>
        </w:rPr>
      </w:pPr>
      <w:r w:rsidRPr="00A63B8F">
        <w:pict>
          <v:line id="_x0000_s1093" style="position:absolute;z-index:-251640832;mso-wrap-distance-left:0;mso-wrap-distance-right:0;mso-position-horizontal-relative:page" from="38.4pt,15.3pt" to="287.85pt,15.3pt" strokecolor="#df3e31" strokeweight="6479emu">
            <w10:wrap type="topAndBottom" anchorx="page"/>
          </v:line>
        </w:pict>
      </w:r>
    </w:p>
    <w:p w:rsidR="008443D8" w:rsidRDefault="00B73390">
      <w:pPr>
        <w:pStyle w:val="Heading3"/>
        <w:ind w:left="108"/>
      </w:pPr>
      <w:r>
        <w:t>Ian Grant Hansen</w:t>
      </w:r>
    </w:p>
    <w:p w:rsidR="008443D8" w:rsidRDefault="008443D8">
      <w:pPr>
        <w:pStyle w:val="BodyText"/>
        <w:spacing w:before="5"/>
        <w:rPr>
          <w:rFonts w:ascii="Arial"/>
          <w:sz w:val="8"/>
        </w:rPr>
      </w:pPr>
    </w:p>
    <w:p w:rsidR="008443D8" w:rsidRDefault="00A63B8F">
      <w:pPr>
        <w:pStyle w:val="BodyText"/>
        <w:spacing w:line="20" w:lineRule="exact"/>
        <w:ind w:left="102" w:right="-29"/>
        <w:rPr>
          <w:rFonts w:ascii="Arial"/>
          <w:sz w:val="2"/>
        </w:rPr>
      </w:pPr>
      <w:r>
        <w:rPr>
          <w:rFonts w:ascii="Arial"/>
          <w:sz w:val="2"/>
        </w:rPr>
      </w:r>
      <w:r w:rsidRPr="00A63B8F">
        <w:rPr>
          <w:rFonts w:ascii="Arial"/>
          <w:sz w:val="2"/>
        </w:rPr>
        <w:pict>
          <v:group id="_x0000_s1091" style="width:249.45pt;height:.55pt;mso-position-horizontal-relative:char;mso-position-vertical-relative:line" coordsize="4989,11">
            <v:line id="_x0000_s1092" style="position:absolute" from="0,5" to="4989,5" strokecolor="#df3e31" strokeweight=".18mm"/>
            <w10:wrap type="none"/>
            <w10:anchorlock/>
          </v:group>
        </w:pict>
      </w:r>
    </w:p>
    <w:p w:rsidR="008443D8" w:rsidRDefault="00B73390">
      <w:pPr>
        <w:spacing w:before="110" w:line="278" w:lineRule="auto"/>
        <w:ind w:left="108" w:right="70"/>
        <w:jc w:val="both"/>
        <w:rPr>
          <w:rFonts w:ascii="Arial"/>
          <w:sz w:val="15"/>
        </w:rPr>
      </w:pPr>
      <w:r>
        <w:rPr>
          <w:rFonts w:ascii="Arial"/>
          <w:w w:val="95"/>
          <w:sz w:val="15"/>
        </w:rPr>
        <w:t>Department of Behavioral Sciences, York College, City University of New</w:t>
      </w:r>
      <w:r>
        <w:rPr>
          <w:rFonts w:ascii="Arial"/>
          <w:spacing w:val="-24"/>
          <w:w w:val="95"/>
          <w:sz w:val="15"/>
        </w:rPr>
        <w:t xml:space="preserve"> </w:t>
      </w:r>
      <w:r>
        <w:rPr>
          <w:rFonts w:ascii="Arial"/>
          <w:w w:val="95"/>
          <w:sz w:val="15"/>
        </w:rPr>
        <w:t xml:space="preserve">York, </w:t>
      </w:r>
      <w:r>
        <w:rPr>
          <w:rFonts w:ascii="Arial"/>
          <w:sz w:val="15"/>
        </w:rPr>
        <w:t>New York, NY</w:t>
      </w:r>
      <w:r>
        <w:rPr>
          <w:rFonts w:ascii="Arial"/>
          <w:spacing w:val="19"/>
          <w:sz w:val="15"/>
        </w:rPr>
        <w:t xml:space="preserve"> </w:t>
      </w:r>
      <w:r>
        <w:rPr>
          <w:rFonts w:ascii="Arial"/>
          <w:sz w:val="15"/>
        </w:rPr>
        <w:t>11451.</w:t>
      </w:r>
    </w:p>
    <w:p w:rsidR="008443D8" w:rsidRDefault="00A63B8F">
      <w:pPr>
        <w:spacing w:line="278" w:lineRule="auto"/>
        <w:ind w:left="108" w:right="795"/>
        <w:rPr>
          <w:rFonts w:ascii="Arial"/>
          <w:sz w:val="15"/>
        </w:rPr>
      </w:pPr>
      <w:hyperlink r:id="rId5">
        <w:r w:rsidR="00B73390">
          <w:rPr>
            <w:rFonts w:ascii="Arial"/>
            <w:color w:val="0000FF"/>
            <w:sz w:val="15"/>
          </w:rPr>
          <w:t>ihansen@york.cuny.edu</w:t>
        </w:r>
      </w:hyperlink>
      <w:r w:rsidR="00B73390">
        <w:rPr>
          <w:rFonts w:ascii="Arial"/>
          <w:color w:val="0000FF"/>
          <w:sz w:val="15"/>
        </w:rPr>
        <w:t xml:space="preserve"> </w:t>
      </w:r>
      <w:hyperlink r:id="rId6">
        <w:r w:rsidR="00B73390">
          <w:rPr>
            <w:rFonts w:ascii="Arial"/>
            <w:color w:val="0000FF"/>
            <w:w w:val="95"/>
            <w:sz w:val="15"/>
          </w:rPr>
          <w:t>https://www.york.cuny.edu/portal_college/ihansen</w:t>
        </w:r>
      </w:hyperlink>
    </w:p>
    <w:p w:rsidR="008443D8" w:rsidRDefault="00B73390">
      <w:pPr>
        <w:spacing w:before="100"/>
        <w:ind w:left="108"/>
        <w:rPr>
          <w:sz w:val="18"/>
        </w:rPr>
      </w:pPr>
      <w:proofErr w:type="gramStart"/>
      <w:r>
        <w:rPr>
          <w:sz w:val="18"/>
        </w:rPr>
        <w:t>doi:10.1017</w:t>
      </w:r>
      <w:proofErr w:type="gramEnd"/>
      <w:r>
        <w:rPr>
          <w:sz w:val="18"/>
        </w:rPr>
        <w:t>/S0140525X18001772, e204</w:t>
      </w:r>
    </w:p>
    <w:p w:rsidR="008443D8" w:rsidRDefault="00A63B8F">
      <w:pPr>
        <w:pStyle w:val="BodyText"/>
        <w:spacing w:before="5"/>
        <w:rPr>
          <w:sz w:val="10"/>
        </w:rPr>
      </w:pPr>
      <w:r w:rsidRPr="00A63B8F"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90" type="#_x0000_t202" style="position:absolute;margin-left:38.4pt;margin-top:8.45pt;width:249.45pt;height:99pt;z-index:251676672;mso-wrap-distance-left:0;mso-wrap-distance-right:0;mso-position-horizontal-relative:page" fillcolor="#f9d8d6" stroked="f">
            <v:textbox inset="0,0,0,0">
              <w:txbxContent>
                <w:p w:rsidR="005B0C4E" w:rsidRDefault="005B0C4E">
                  <w:pPr>
                    <w:spacing w:before="48"/>
                    <w:ind w:left="119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w w:val="110"/>
                      <w:sz w:val="18"/>
                    </w:rPr>
                    <w:t>Abstract</w:t>
                  </w:r>
                </w:p>
                <w:p w:rsidR="005B0C4E" w:rsidRDefault="005B0C4E">
                  <w:pPr>
                    <w:spacing w:before="75" w:line="208" w:lineRule="auto"/>
                    <w:ind w:left="119" w:right="117"/>
                    <w:jc w:val="both"/>
                    <w:rPr>
                      <w:sz w:val="18"/>
                    </w:rPr>
                  </w:pPr>
                  <w:r>
                    <w:rPr>
                      <w:w w:val="115"/>
                      <w:sz w:val="18"/>
                    </w:rPr>
                    <w:t>Fighting</w:t>
                  </w:r>
                  <w:r>
                    <w:rPr>
                      <w:spacing w:val="-37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and</w:t>
                  </w:r>
                  <w:r>
                    <w:rPr>
                      <w:spacing w:val="-36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dying,</w:t>
                  </w:r>
                  <w:r>
                    <w:rPr>
                      <w:spacing w:val="-37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or</w:t>
                  </w:r>
                  <w:r>
                    <w:rPr>
                      <w:spacing w:val="-36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what</w:t>
                  </w:r>
                  <w:r>
                    <w:rPr>
                      <w:spacing w:val="-37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Whitehouse</w:t>
                  </w:r>
                  <w:r>
                    <w:rPr>
                      <w:spacing w:val="-36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calls</w:t>
                  </w:r>
                  <w:r>
                    <w:rPr>
                      <w:spacing w:val="-37"/>
                      <w:w w:val="1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5"/>
                      <w:sz w:val="18"/>
                    </w:rPr>
                    <w:t>“</w:t>
                  </w:r>
                  <w:r>
                    <w:rPr>
                      <w:w w:val="115"/>
                      <w:sz w:val="18"/>
                    </w:rPr>
                    <w:t>out-group</w:t>
                  </w:r>
                  <w:r>
                    <w:rPr>
                      <w:spacing w:val="-37"/>
                      <w:w w:val="11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pacing w:val="-3"/>
                      <w:w w:val="115"/>
                      <w:sz w:val="18"/>
                    </w:rPr>
                    <w:t>hostil</w:t>
                  </w:r>
                  <w:proofErr w:type="spellEnd"/>
                  <w:r>
                    <w:rPr>
                      <w:spacing w:val="-3"/>
                      <w:w w:val="115"/>
                      <w:sz w:val="18"/>
                    </w:rPr>
                    <w:t xml:space="preserve">- </w:t>
                  </w:r>
                  <w:proofErr w:type="spellStart"/>
                  <w:r>
                    <w:rPr>
                      <w:w w:val="110"/>
                      <w:sz w:val="18"/>
                    </w:rPr>
                    <w:t>ity</w:t>
                  </w:r>
                  <w:proofErr w:type="spellEnd"/>
                  <w:r>
                    <w:rPr>
                      <w:rFonts w:ascii="Trebuchet MS" w:hAnsi="Trebuchet MS"/>
                      <w:w w:val="110"/>
                      <w:sz w:val="18"/>
                    </w:rPr>
                    <w:t>”</w:t>
                  </w:r>
                  <w:r>
                    <w:rPr>
                      <w:rFonts w:ascii="Trebuchet MS" w:hAnsi="Trebuchet MS"/>
                      <w:spacing w:val="-13"/>
                      <w:w w:val="110"/>
                      <w:sz w:val="18"/>
                    </w:rPr>
                    <w:t xml:space="preserve"> </w:t>
                  </w:r>
                  <w:r>
                    <w:rPr>
                      <w:w w:val="110"/>
                      <w:sz w:val="18"/>
                    </w:rPr>
                    <w:t>and</w:t>
                  </w:r>
                  <w:r>
                    <w:rPr>
                      <w:spacing w:val="-4"/>
                      <w:w w:val="1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“</w:t>
                  </w:r>
                  <w:r>
                    <w:rPr>
                      <w:w w:val="110"/>
                      <w:sz w:val="18"/>
                    </w:rPr>
                    <w:t>extreme</w:t>
                  </w:r>
                  <w:r>
                    <w:rPr>
                      <w:spacing w:val="-4"/>
                      <w:w w:val="110"/>
                      <w:sz w:val="18"/>
                    </w:rPr>
                    <w:t xml:space="preserve"> </w:t>
                  </w:r>
                  <w:r>
                    <w:rPr>
                      <w:w w:val="110"/>
                      <w:sz w:val="18"/>
                    </w:rPr>
                    <w:t>self-sacrifice,</w:t>
                  </w:r>
                  <w:r>
                    <w:rPr>
                      <w:rFonts w:ascii="Trebuchet MS" w:hAnsi="Trebuchet MS"/>
                      <w:w w:val="110"/>
                      <w:sz w:val="18"/>
                    </w:rPr>
                    <w:t>”</w:t>
                  </w:r>
                  <w:r>
                    <w:rPr>
                      <w:rFonts w:ascii="Trebuchet MS" w:hAnsi="Trebuchet MS"/>
                      <w:spacing w:val="-12"/>
                      <w:w w:val="110"/>
                      <w:sz w:val="18"/>
                    </w:rPr>
                    <w:t xml:space="preserve"> </w:t>
                  </w:r>
                  <w:r>
                    <w:rPr>
                      <w:w w:val="110"/>
                      <w:sz w:val="18"/>
                    </w:rPr>
                    <w:t>are</w:t>
                  </w:r>
                  <w:r>
                    <w:rPr>
                      <w:spacing w:val="-5"/>
                      <w:w w:val="110"/>
                      <w:sz w:val="18"/>
                    </w:rPr>
                    <w:t xml:space="preserve"> </w:t>
                  </w:r>
                  <w:r>
                    <w:rPr>
                      <w:w w:val="110"/>
                      <w:sz w:val="18"/>
                    </w:rPr>
                    <w:t>not</w:t>
                  </w:r>
                  <w:r>
                    <w:rPr>
                      <w:spacing w:val="-4"/>
                      <w:w w:val="110"/>
                      <w:sz w:val="18"/>
                    </w:rPr>
                    <w:t xml:space="preserve"> </w:t>
                  </w:r>
                  <w:r>
                    <w:rPr>
                      <w:w w:val="110"/>
                      <w:sz w:val="18"/>
                    </w:rPr>
                    <w:t>conceptually</w:t>
                  </w:r>
                  <w:r>
                    <w:rPr>
                      <w:spacing w:val="-7"/>
                      <w:w w:val="110"/>
                      <w:sz w:val="18"/>
                    </w:rPr>
                    <w:t xml:space="preserve"> </w:t>
                  </w:r>
                  <w:r>
                    <w:rPr>
                      <w:w w:val="110"/>
                      <w:sz w:val="18"/>
                    </w:rPr>
                    <w:t xml:space="preserve">overlap- </w:t>
                  </w:r>
                  <w:r>
                    <w:rPr>
                      <w:w w:val="115"/>
                      <w:sz w:val="18"/>
                    </w:rPr>
                    <w:t>ping,</w:t>
                  </w:r>
                  <w:r>
                    <w:rPr>
                      <w:spacing w:val="-6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but</w:t>
                  </w:r>
                  <w:r>
                    <w:rPr>
                      <w:spacing w:val="-7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in</w:t>
                  </w:r>
                  <w:r>
                    <w:rPr>
                      <w:spacing w:val="-7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fact</w:t>
                  </w:r>
                  <w:r>
                    <w:rPr>
                      <w:spacing w:val="-6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are</w:t>
                  </w:r>
                  <w:r>
                    <w:rPr>
                      <w:spacing w:val="-6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highly</w:t>
                  </w:r>
                  <w:r>
                    <w:rPr>
                      <w:spacing w:val="-7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distinguishable,</w:t>
                  </w:r>
                  <w:r>
                    <w:rPr>
                      <w:spacing w:val="-7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both</w:t>
                  </w:r>
                  <w:r>
                    <w:rPr>
                      <w:spacing w:val="-6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theoretically and</w:t>
                  </w:r>
                  <w:r>
                    <w:rPr>
                      <w:spacing w:val="-24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empirically.</w:t>
                  </w:r>
                  <w:r>
                    <w:rPr>
                      <w:spacing w:val="-24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I</w:t>
                  </w:r>
                  <w:r>
                    <w:rPr>
                      <w:spacing w:val="-24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present</w:t>
                  </w:r>
                  <w:r>
                    <w:rPr>
                      <w:spacing w:val="-24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empirical</w:t>
                  </w:r>
                  <w:r>
                    <w:rPr>
                      <w:spacing w:val="-24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evidence</w:t>
                  </w:r>
                  <w:r>
                    <w:rPr>
                      <w:spacing w:val="-23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from</w:t>
                  </w:r>
                  <w:r>
                    <w:rPr>
                      <w:spacing w:val="-25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a</w:t>
                  </w:r>
                  <w:r>
                    <w:rPr>
                      <w:spacing w:val="-24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reanalysis of</w:t>
                  </w:r>
                  <w:r>
                    <w:rPr>
                      <w:spacing w:val="-15"/>
                      <w:w w:val="11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8"/>
                    </w:rPr>
                    <w:t>Ginges</w:t>
                  </w:r>
                  <w:proofErr w:type="spellEnd"/>
                  <w:r>
                    <w:rPr>
                      <w:spacing w:val="-15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et</w:t>
                  </w:r>
                  <w:r>
                    <w:rPr>
                      <w:spacing w:val="-15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al.</w:t>
                  </w:r>
                  <w:r>
                    <w:rPr>
                      <w:spacing w:val="-15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(</w:t>
                  </w:r>
                  <w:hyperlink w:anchor="_bookmark207" w:history="1">
                    <w:r>
                      <w:rPr>
                        <w:color w:val="0000FF"/>
                        <w:w w:val="115"/>
                        <w:sz w:val="18"/>
                      </w:rPr>
                      <w:t>2009</w:t>
                    </w:r>
                  </w:hyperlink>
                  <w:r>
                    <w:rPr>
                      <w:w w:val="115"/>
                      <w:sz w:val="18"/>
                    </w:rPr>
                    <w:t>,</w:t>
                  </w:r>
                  <w:r>
                    <w:rPr>
                      <w:spacing w:val="-15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Study</w:t>
                  </w:r>
                  <w:r>
                    <w:rPr>
                      <w:spacing w:val="-15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4),</w:t>
                  </w:r>
                  <w:r>
                    <w:rPr>
                      <w:spacing w:val="-14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demonstrating</w:t>
                  </w:r>
                  <w:r>
                    <w:rPr>
                      <w:spacing w:val="-15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the</w:t>
                  </w:r>
                  <w:r>
                    <w:rPr>
                      <w:spacing w:val="-14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 xml:space="preserve">potentially inverse relationship between </w:t>
                  </w:r>
                  <w:r>
                    <w:rPr>
                      <w:rFonts w:ascii="Trebuchet MS" w:hAnsi="Trebuchet MS"/>
                      <w:w w:val="115"/>
                      <w:sz w:val="18"/>
                    </w:rPr>
                    <w:t>“</w:t>
                  </w:r>
                  <w:r>
                    <w:rPr>
                      <w:w w:val="115"/>
                      <w:sz w:val="18"/>
                    </w:rPr>
                    <w:t>parochial hostility</w:t>
                  </w:r>
                  <w:r>
                    <w:rPr>
                      <w:rFonts w:ascii="Trebuchet MS" w:hAnsi="Trebuchet MS"/>
                      <w:w w:val="115"/>
                      <w:sz w:val="18"/>
                    </w:rPr>
                    <w:t xml:space="preserve">” – </w:t>
                  </w:r>
                  <w:r>
                    <w:rPr>
                      <w:w w:val="115"/>
                      <w:sz w:val="18"/>
                    </w:rPr>
                    <w:t xml:space="preserve">fighting and </w:t>
                  </w:r>
                  <w:r>
                    <w:rPr>
                      <w:rFonts w:ascii="Trebuchet MS" w:hAnsi="Trebuchet MS"/>
                      <w:w w:val="115"/>
                      <w:sz w:val="18"/>
                    </w:rPr>
                    <w:t>“</w:t>
                  </w:r>
                  <w:r>
                    <w:rPr>
                      <w:w w:val="115"/>
                      <w:sz w:val="18"/>
                    </w:rPr>
                    <w:t>sacrificial altruism</w:t>
                  </w:r>
                  <w:r>
                    <w:rPr>
                      <w:rFonts w:ascii="Trebuchet MS" w:hAnsi="Trebuchet MS"/>
                      <w:w w:val="115"/>
                      <w:sz w:val="18"/>
                    </w:rPr>
                    <w:t>” –</w:t>
                  </w:r>
                  <w:r>
                    <w:rPr>
                      <w:rFonts w:ascii="Trebuchet MS" w:hAnsi="Trebuchet MS"/>
                      <w:spacing w:val="-12"/>
                      <w:w w:val="115"/>
                      <w:sz w:val="18"/>
                    </w:rPr>
                    <w:t xml:space="preserve"> </w:t>
                  </w:r>
                  <w:r>
                    <w:rPr>
                      <w:w w:val="115"/>
                      <w:sz w:val="18"/>
                    </w:rPr>
                    <w:t>dying.</w:t>
                  </w:r>
                </w:p>
              </w:txbxContent>
            </v:textbox>
            <w10:wrap type="topAndBottom" anchorx="page"/>
          </v:shape>
        </w:pict>
      </w:r>
    </w:p>
    <w:p w:rsidR="008443D8" w:rsidRDefault="008443D8">
      <w:pPr>
        <w:pStyle w:val="BodyText"/>
        <w:spacing w:before="1"/>
      </w:pPr>
    </w:p>
    <w:p w:rsidR="008443D8" w:rsidRDefault="00B73390">
      <w:pPr>
        <w:pStyle w:val="BodyText"/>
        <w:spacing w:line="199" w:lineRule="auto"/>
        <w:ind w:left="108" w:right="38"/>
        <w:jc w:val="both"/>
      </w:pPr>
      <w:r>
        <w:rPr>
          <w:w w:val="105"/>
        </w:rPr>
        <w:t>As promising as Whitehouse</w:t>
      </w:r>
      <w:r>
        <w:rPr>
          <w:rFonts w:ascii="Trebuchet MS" w:hAnsi="Trebuchet MS"/>
          <w:w w:val="105"/>
        </w:rPr>
        <w:t>’</w:t>
      </w:r>
      <w:r>
        <w:rPr>
          <w:w w:val="105"/>
        </w:rPr>
        <w:t xml:space="preserve">s fusion theory is, he often refer- </w:t>
      </w:r>
      <w:proofErr w:type="spellStart"/>
      <w:r>
        <w:rPr>
          <w:w w:val="105"/>
        </w:rPr>
        <w:t>ences</w:t>
      </w:r>
      <w:proofErr w:type="spellEnd"/>
      <w:r>
        <w:rPr>
          <w:w w:val="105"/>
        </w:rPr>
        <w:t xml:space="preserve"> </w:t>
      </w:r>
      <w:r>
        <w:rPr>
          <w:rFonts w:ascii="Trebuchet MS" w:hAnsi="Trebuchet MS"/>
          <w:w w:val="105"/>
        </w:rPr>
        <w:t>“</w:t>
      </w:r>
      <w:r>
        <w:rPr>
          <w:w w:val="105"/>
        </w:rPr>
        <w:t>extreme self-sacrifice</w:t>
      </w:r>
      <w:r>
        <w:rPr>
          <w:rFonts w:ascii="Trebuchet MS" w:hAnsi="Trebuchet MS"/>
          <w:w w:val="105"/>
        </w:rPr>
        <w:t xml:space="preserve">” </w:t>
      </w:r>
      <w:r>
        <w:rPr>
          <w:w w:val="105"/>
        </w:rPr>
        <w:t xml:space="preserve">and </w:t>
      </w:r>
      <w:r>
        <w:rPr>
          <w:rFonts w:ascii="Trebuchet MS" w:hAnsi="Trebuchet MS"/>
          <w:w w:val="105"/>
        </w:rPr>
        <w:t>“</w:t>
      </w:r>
      <w:r>
        <w:rPr>
          <w:w w:val="105"/>
        </w:rPr>
        <w:t>out-group hostility</w:t>
      </w:r>
      <w:r>
        <w:rPr>
          <w:rFonts w:ascii="Trebuchet MS" w:hAnsi="Trebuchet MS"/>
          <w:w w:val="105"/>
        </w:rPr>
        <w:t xml:space="preserve">” </w:t>
      </w:r>
      <w:r>
        <w:rPr>
          <w:w w:val="105"/>
        </w:rPr>
        <w:t xml:space="preserve">(even </w:t>
      </w:r>
      <w:r>
        <w:rPr>
          <w:rFonts w:ascii="Trebuchet MS" w:hAnsi="Trebuchet MS"/>
          <w:w w:val="105"/>
        </w:rPr>
        <w:t>“</w:t>
      </w:r>
      <w:r>
        <w:rPr>
          <w:w w:val="105"/>
        </w:rPr>
        <w:t>murderous</w:t>
      </w:r>
      <w:r>
        <w:rPr>
          <w:rFonts w:ascii="Trebuchet MS" w:hAnsi="Trebuchet MS"/>
          <w:w w:val="105"/>
        </w:rPr>
        <w:t>”</w:t>
      </w:r>
      <w:r>
        <w:rPr>
          <w:rFonts w:ascii="Trebuchet MS" w:hAnsi="Trebuchet MS"/>
          <w:spacing w:val="-13"/>
          <w:w w:val="105"/>
        </w:rPr>
        <w:t xml:space="preserve"> </w:t>
      </w:r>
      <w:r>
        <w:rPr>
          <w:w w:val="105"/>
        </w:rPr>
        <w:t>inclinations,</w:t>
      </w:r>
      <w:r>
        <w:rPr>
          <w:spacing w:val="-4"/>
          <w:w w:val="105"/>
        </w:rPr>
        <w:t xml:space="preserve"> </w:t>
      </w:r>
      <w:r>
        <w:rPr>
          <w:w w:val="105"/>
        </w:rPr>
        <w:t>sect.</w:t>
      </w:r>
      <w:r>
        <w:rPr>
          <w:spacing w:val="-5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para</w:t>
      </w:r>
      <w:proofErr w:type="spellEnd"/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1)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conceptually</w:t>
      </w:r>
      <w:r>
        <w:rPr>
          <w:spacing w:val="-8"/>
          <w:w w:val="105"/>
        </w:rPr>
        <w:t xml:space="preserve"> </w:t>
      </w:r>
      <w:r>
        <w:rPr>
          <w:w w:val="105"/>
        </w:rPr>
        <w:t>over- lapping. This muddies the theory</w:t>
      </w:r>
      <w:r>
        <w:rPr>
          <w:rFonts w:ascii="Trebuchet MS" w:hAnsi="Trebuchet MS"/>
          <w:w w:val="105"/>
        </w:rPr>
        <w:t>’</w:t>
      </w:r>
      <w:r>
        <w:rPr>
          <w:w w:val="105"/>
        </w:rPr>
        <w:t xml:space="preserve">s utility for understanding </w:t>
      </w:r>
      <w:r>
        <w:rPr>
          <w:spacing w:val="-4"/>
          <w:w w:val="105"/>
        </w:rPr>
        <w:t xml:space="preserve">the </w:t>
      </w:r>
      <w:r>
        <w:rPr>
          <w:w w:val="105"/>
        </w:rPr>
        <w:t xml:space="preserve">subjects of his inquiry. For example, Whitehouse uses the </w:t>
      </w:r>
      <w:r>
        <w:rPr>
          <w:spacing w:val="-3"/>
          <w:w w:val="105"/>
        </w:rPr>
        <w:t xml:space="preserve">phrase </w:t>
      </w:r>
      <w:r>
        <w:rPr>
          <w:rFonts w:ascii="Trebuchet MS" w:hAnsi="Trebuchet MS"/>
          <w:w w:val="105"/>
        </w:rPr>
        <w:t>“</w:t>
      </w:r>
      <w:r>
        <w:rPr>
          <w:w w:val="105"/>
        </w:rPr>
        <w:t>fight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die</w:t>
      </w:r>
      <w:r>
        <w:rPr>
          <w:rFonts w:ascii="Trebuchet MS" w:hAnsi="Trebuchet MS"/>
          <w:w w:val="105"/>
        </w:rPr>
        <w:t>”</w:t>
      </w:r>
      <w:r>
        <w:rPr>
          <w:rFonts w:ascii="Trebuchet MS" w:hAnsi="Trebuchet MS"/>
          <w:spacing w:val="-23"/>
          <w:w w:val="105"/>
        </w:rPr>
        <w:t xml:space="preserve"> </w:t>
      </w:r>
      <w:r>
        <w:rPr>
          <w:w w:val="105"/>
        </w:rPr>
        <w:t>12</w:t>
      </w:r>
      <w:r>
        <w:rPr>
          <w:spacing w:val="-14"/>
          <w:w w:val="105"/>
        </w:rPr>
        <w:t xml:space="preserve"> </w:t>
      </w:r>
      <w:r>
        <w:rPr>
          <w:w w:val="105"/>
        </w:rPr>
        <w:t>times.</w:t>
      </w:r>
      <w:r>
        <w:rPr>
          <w:spacing w:val="-14"/>
          <w:w w:val="105"/>
        </w:rPr>
        <w:t xml:space="preserve"> </w:t>
      </w:r>
      <w:r>
        <w:rPr>
          <w:w w:val="105"/>
        </w:rPr>
        <w:t>Fighting,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rFonts w:ascii="Trebuchet MS" w:hAnsi="Trebuchet MS"/>
          <w:w w:val="105"/>
        </w:rPr>
        <w:t>“</w:t>
      </w:r>
      <w:r>
        <w:rPr>
          <w:w w:val="105"/>
        </w:rPr>
        <w:t>murderous</w:t>
      </w:r>
      <w:r>
        <w:rPr>
          <w:rFonts w:ascii="Trebuchet MS" w:hAnsi="Trebuchet MS"/>
          <w:w w:val="105"/>
        </w:rPr>
        <w:t>”</w:t>
      </w:r>
      <w:r>
        <w:rPr>
          <w:rFonts w:ascii="Trebuchet MS" w:hAnsi="Trebuchet MS"/>
          <w:spacing w:val="-22"/>
          <w:w w:val="105"/>
        </w:rPr>
        <w:t xml:space="preserve"> </w:t>
      </w:r>
      <w:r>
        <w:rPr>
          <w:w w:val="105"/>
        </w:rPr>
        <w:t>killing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kind </w:t>
      </w:r>
      <w:r>
        <w:rPr>
          <w:spacing w:val="-3"/>
          <w:w w:val="105"/>
        </w:rPr>
        <w:t xml:space="preserve">at </w:t>
      </w:r>
      <w:r>
        <w:rPr>
          <w:w w:val="105"/>
        </w:rPr>
        <w:t>least, is not the same as dying. Admittedly, this linkage is not unprecedented.</w:t>
      </w:r>
      <w:r>
        <w:rPr>
          <w:spacing w:val="-8"/>
          <w:w w:val="105"/>
        </w:rPr>
        <w:t xml:space="preserve"> </w:t>
      </w:r>
      <w:r>
        <w:rPr>
          <w:w w:val="105"/>
        </w:rPr>
        <w:t>Killing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dying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typically</w:t>
      </w:r>
      <w:r>
        <w:rPr>
          <w:spacing w:val="-7"/>
          <w:w w:val="105"/>
        </w:rPr>
        <w:t xml:space="preserve"> </w:t>
      </w:r>
      <w:r>
        <w:rPr>
          <w:w w:val="105"/>
        </w:rPr>
        <w:t>conjoined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highly vulnerable military operations, as Whitehouse notes regarding the risks undergone by those awarded Britain</w:t>
      </w:r>
      <w:r>
        <w:rPr>
          <w:rFonts w:ascii="Trebuchet MS" w:hAnsi="Trebuchet MS"/>
          <w:w w:val="105"/>
        </w:rPr>
        <w:t>’</w:t>
      </w:r>
      <w:r>
        <w:rPr>
          <w:w w:val="105"/>
        </w:rPr>
        <w:t xml:space="preserve">s Victoria Cross medal (sect. 2, </w:t>
      </w:r>
      <w:proofErr w:type="spellStart"/>
      <w:r>
        <w:rPr>
          <w:w w:val="105"/>
        </w:rPr>
        <w:t>para</w:t>
      </w:r>
      <w:proofErr w:type="spellEnd"/>
      <w:r>
        <w:rPr>
          <w:w w:val="105"/>
        </w:rPr>
        <w:t>. 9). They are also conjoined in violent martyrdom operations (</w:t>
      </w:r>
      <w:proofErr w:type="spellStart"/>
      <w:r>
        <w:rPr>
          <w:w w:val="105"/>
        </w:rPr>
        <w:t>Ginges</w:t>
      </w:r>
      <w:proofErr w:type="spellEnd"/>
      <w:r>
        <w:rPr>
          <w:w w:val="105"/>
        </w:rPr>
        <w:t xml:space="preserve"> et al.</w:t>
      </w:r>
      <w:r>
        <w:rPr>
          <w:spacing w:val="44"/>
          <w:w w:val="105"/>
        </w:rPr>
        <w:t xml:space="preserve"> </w:t>
      </w:r>
      <w:hyperlink w:anchor="_bookmark207" w:history="1">
        <w:r>
          <w:rPr>
            <w:color w:val="0000FF"/>
            <w:w w:val="105"/>
          </w:rPr>
          <w:t>2009</w:t>
        </w:r>
      </w:hyperlink>
      <w:r>
        <w:rPr>
          <w:w w:val="105"/>
        </w:rPr>
        <w:t>).</w:t>
      </w:r>
    </w:p>
    <w:p w:rsidR="008443D8" w:rsidRDefault="00B73390">
      <w:pPr>
        <w:pStyle w:val="BodyText"/>
        <w:spacing w:line="199" w:lineRule="auto"/>
        <w:ind w:left="108" w:right="38" w:firstLine="239"/>
        <w:jc w:val="both"/>
      </w:pPr>
      <w:r>
        <w:rPr>
          <w:w w:val="105"/>
        </w:rPr>
        <w:t xml:space="preserve">It is possible to separate killing from dying, however. For example, one can risk, or even practically guarantee, dying for a morally </w:t>
      </w:r>
      <w:proofErr w:type="spellStart"/>
      <w:r>
        <w:rPr>
          <w:w w:val="105"/>
        </w:rPr>
        <w:t>aspirational</w:t>
      </w:r>
      <w:proofErr w:type="spellEnd"/>
      <w:r>
        <w:rPr>
          <w:w w:val="105"/>
        </w:rPr>
        <w:t xml:space="preserve"> cause, and do so without killing.  Such</w:t>
      </w:r>
      <w:r>
        <w:rPr>
          <w:spacing w:val="51"/>
          <w:w w:val="105"/>
        </w:rPr>
        <w:t xml:space="preserve"> </w:t>
      </w:r>
      <w:r>
        <w:rPr>
          <w:w w:val="105"/>
        </w:rPr>
        <w:t xml:space="preserve">moral heroism often occurs in grassroots civilian rescue opera- </w:t>
      </w:r>
      <w:proofErr w:type="spellStart"/>
      <w:r>
        <w:rPr>
          <w:w w:val="105"/>
        </w:rPr>
        <w:t>tions</w:t>
      </w:r>
      <w:proofErr w:type="spellEnd"/>
      <w:r>
        <w:rPr>
          <w:w w:val="105"/>
        </w:rPr>
        <w:t xml:space="preserve"> against genocide (Doughty &amp; </w:t>
      </w:r>
      <w:proofErr w:type="spellStart"/>
      <w:r>
        <w:rPr>
          <w:w w:val="105"/>
        </w:rPr>
        <w:t>Ntambara</w:t>
      </w:r>
      <w:proofErr w:type="spellEnd"/>
      <w:r>
        <w:rPr>
          <w:w w:val="105"/>
        </w:rPr>
        <w:t xml:space="preserve"> </w:t>
      </w:r>
      <w:hyperlink w:anchor="_bookmark148" w:history="1">
        <w:r>
          <w:rPr>
            <w:color w:val="0000FF"/>
            <w:w w:val="105"/>
          </w:rPr>
          <w:t>2005</w:t>
        </w:r>
      </w:hyperlink>
      <w:r>
        <w:rPr>
          <w:w w:val="105"/>
        </w:rPr>
        <w:t xml:space="preserve">; </w:t>
      </w:r>
      <w:proofErr w:type="spellStart"/>
      <w:r>
        <w:rPr>
          <w:w w:val="105"/>
        </w:rPr>
        <w:t>Liphshiz</w:t>
      </w:r>
      <w:proofErr w:type="spellEnd"/>
      <w:r>
        <w:rPr>
          <w:w w:val="105"/>
        </w:rPr>
        <w:t xml:space="preserve"> </w:t>
      </w:r>
      <w:hyperlink w:anchor="_bookmark309" w:history="1">
        <w:r>
          <w:rPr>
            <w:color w:val="0000FF"/>
            <w:w w:val="105"/>
          </w:rPr>
          <w:t>2018</w:t>
        </w:r>
      </w:hyperlink>
      <w:r>
        <w:rPr>
          <w:w w:val="105"/>
        </w:rPr>
        <w:t xml:space="preserve">; </w:t>
      </w:r>
      <w:proofErr w:type="spellStart"/>
      <w:r>
        <w:rPr>
          <w:w w:val="105"/>
        </w:rPr>
        <w:t>Samaha</w:t>
      </w:r>
      <w:proofErr w:type="spellEnd"/>
      <w:r>
        <w:rPr>
          <w:w w:val="105"/>
        </w:rPr>
        <w:t xml:space="preserve"> </w:t>
      </w:r>
      <w:hyperlink w:anchor="_bookmark424" w:history="1">
        <w:r>
          <w:rPr>
            <w:color w:val="0000FF"/>
            <w:w w:val="105"/>
          </w:rPr>
          <w:t>2015</w:t>
        </w:r>
      </w:hyperlink>
      <w:r>
        <w:rPr>
          <w:w w:val="105"/>
        </w:rPr>
        <w:t xml:space="preserve">) and various other forms of nonviolent resist- </w:t>
      </w:r>
      <w:proofErr w:type="spellStart"/>
      <w:r>
        <w:rPr>
          <w:w w:val="105"/>
        </w:rPr>
        <w:t>ance</w:t>
      </w:r>
      <w:proofErr w:type="spellEnd"/>
      <w:r>
        <w:rPr>
          <w:w w:val="105"/>
        </w:rPr>
        <w:t>, to civil wars (</w:t>
      </w:r>
      <w:proofErr w:type="spellStart"/>
      <w:r>
        <w:rPr>
          <w:w w:val="105"/>
        </w:rPr>
        <w:t>Ouellet</w:t>
      </w:r>
      <w:proofErr w:type="spellEnd"/>
      <w:r>
        <w:rPr>
          <w:w w:val="105"/>
        </w:rPr>
        <w:t xml:space="preserve"> </w:t>
      </w:r>
      <w:hyperlink w:anchor="_bookmark373" w:history="1">
        <w:r>
          <w:rPr>
            <w:color w:val="0000FF"/>
            <w:w w:val="105"/>
          </w:rPr>
          <w:t>2013</w:t>
        </w:r>
      </w:hyperlink>
      <w:r>
        <w:rPr>
          <w:w w:val="105"/>
        </w:rPr>
        <w:t xml:space="preserve">), to colonial </w:t>
      </w:r>
      <w:r>
        <w:rPr>
          <w:spacing w:val="-3"/>
          <w:w w:val="105"/>
        </w:rPr>
        <w:t xml:space="preserve">oppression </w:t>
      </w:r>
      <w:r>
        <w:rPr>
          <w:w w:val="105"/>
        </w:rPr>
        <w:t>(</w:t>
      </w:r>
      <w:proofErr w:type="spellStart"/>
      <w:r>
        <w:rPr>
          <w:w w:val="105"/>
        </w:rPr>
        <w:t>Easwaran</w:t>
      </w:r>
      <w:proofErr w:type="spellEnd"/>
      <w:r>
        <w:rPr>
          <w:w w:val="105"/>
        </w:rPr>
        <w:t xml:space="preserve"> </w:t>
      </w:r>
      <w:hyperlink w:anchor="_bookmark160" w:history="1">
        <w:r>
          <w:rPr>
            <w:color w:val="0000FF"/>
            <w:w w:val="105"/>
          </w:rPr>
          <w:t>1999</w:t>
        </w:r>
      </w:hyperlink>
      <w:r>
        <w:rPr>
          <w:w w:val="105"/>
        </w:rPr>
        <w:t xml:space="preserve">), to </w:t>
      </w:r>
      <w:proofErr w:type="spellStart"/>
      <w:r>
        <w:rPr>
          <w:w w:val="105"/>
        </w:rPr>
        <w:t>kleptocratic</w:t>
      </w:r>
      <w:proofErr w:type="spellEnd"/>
      <w:r>
        <w:rPr>
          <w:w w:val="105"/>
        </w:rPr>
        <w:t xml:space="preserve"> national corruption under dicta- </w:t>
      </w:r>
      <w:proofErr w:type="spellStart"/>
      <w:r>
        <w:rPr>
          <w:w w:val="105"/>
        </w:rPr>
        <w:t>tors</w:t>
      </w:r>
      <w:proofErr w:type="spellEnd"/>
      <w:r>
        <w:rPr>
          <w:w w:val="105"/>
        </w:rPr>
        <w:t xml:space="preserve"> (Farrell </w:t>
      </w:r>
      <w:hyperlink w:anchor="_bookmark168" w:history="1">
        <w:r>
          <w:rPr>
            <w:color w:val="0000FF"/>
            <w:w w:val="105"/>
          </w:rPr>
          <w:t>2011</w:t>
        </w:r>
      </w:hyperlink>
      <w:r>
        <w:rPr>
          <w:w w:val="105"/>
        </w:rPr>
        <w:t xml:space="preserve">), and to diplomatic outrages (Schwartz &amp; Jones </w:t>
      </w:r>
      <w:hyperlink w:anchor="_bookmark430" w:history="1">
        <w:r>
          <w:rPr>
            <w:color w:val="0000FF"/>
            <w:w w:val="105"/>
          </w:rPr>
          <w:t>2018</w:t>
        </w:r>
      </w:hyperlink>
      <w:r>
        <w:rPr>
          <w:w w:val="105"/>
        </w:rPr>
        <w:t xml:space="preserve">). Complementarily, it is possible to kill without risking death, as with targeted assassinations using </w:t>
      </w:r>
      <w:proofErr w:type="spellStart"/>
      <w:r>
        <w:rPr>
          <w:w w:val="105"/>
        </w:rPr>
        <w:t>weaponized</w:t>
      </w:r>
      <w:proofErr w:type="spellEnd"/>
      <w:r>
        <w:rPr>
          <w:w w:val="105"/>
        </w:rPr>
        <w:t xml:space="preserve"> drones (</w:t>
      </w:r>
      <w:proofErr w:type="spellStart"/>
      <w:r>
        <w:rPr>
          <w:w w:val="105"/>
        </w:rPr>
        <w:t>Enemark</w:t>
      </w:r>
      <w:proofErr w:type="spellEnd"/>
      <w:r>
        <w:rPr>
          <w:w w:val="105"/>
        </w:rPr>
        <w:t xml:space="preserve"> </w:t>
      </w:r>
      <w:hyperlink w:anchor="_bookmark161" w:history="1">
        <w:r>
          <w:rPr>
            <w:color w:val="0000FF"/>
            <w:w w:val="105"/>
          </w:rPr>
          <w:t>2017</w:t>
        </w:r>
      </w:hyperlink>
      <w:r>
        <w:rPr>
          <w:w w:val="105"/>
        </w:rPr>
        <w:t>) and soldiers firing live ammunition into crowds of predominantly nonviolent protestors (</w:t>
      </w:r>
      <w:proofErr w:type="spellStart"/>
      <w:r>
        <w:rPr>
          <w:w w:val="105"/>
        </w:rPr>
        <w:t>Da</w:t>
      </w:r>
      <w:proofErr w:type="spellEnd"/>
      <w:r>
        <w:rPr>
          <w:w w:val="105"/>
        </w:rPr>
        <w:t xml:space="preserve"> Silva </w:t>
      </w:r>
      <w:hyperlink w:anchor="_bookmark135" w:history="1">
        <w:r>
          <w:rPr>
            <w:color w:val="0000FF"/>
            <w:w w:val="105"/>
          </w:rPr>
          <w:t>2018</w:t>
        </w:r>
      </w:hyperlink>
      <w:r>
        <w:rPr>
          <w:w w:val="105"/>
        </w:rPr>
        <w:t xml:space="preserve">; </w:t>
      </w:r>
      <w:proofErr w:type="spellStart"/>
      <w:r>
        <w:rPr>
          <w:w w:val="105"/>
        </w:rPr>
        <w:t>Lusher</w:t>
      </w:r>
      <w:proofErr w:type="spellEnd"/>
      <w:r>
        <w:rPr>
          <w:w w:val="105"/>
        </w:rPr>
        <w:t xml:space="preserve"> </w:t>
      </w:r>
      <w:hyperlink w:anchor="_bookmark316" w:history="1">
        <w:r>
          <w:rPr>
            <w:color w:val="0000FF"/>
            <w:w w:val="105"/>
          </w:rPr>
          <w:t>2017</w:t>
        </w:r>
      </w:hyperlink>
      <w:r>
        <w:rPr>
          <w:w w:val="105"/>
        </w:rPr>
        <w:t xml:space="preserve">). Therefore, a separation between willing martyrdom and willing murderousness is theoretically conceivable and </w:t>
      </w:r>
      <w:proofErr w:type="spellStart"/>
      <w:r>
        <w:rPr>
          <w:w w:val="105"/>
        </w:rPr>
        <w:t>existen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tially</w:t>
      </w:r>
      <w:proofErr w:type="spellEnd"/>
      <w:r>
        <w:rPr>
          <w:w w:val="105"/>
        </w:rPr>
        <w:t xml:space="preserve"> demonstrable. Is it also empirically</w:t>
      </w:r>
      <w:r>
        <w:rPr>
          <w:spacing w:val="5"/>
          <w:w w:val="105"/>
        </w:rPr>
        <w:t xml:space="preserve"> </w:t>
      </w:r>
      <w:r>
        <w:rPr>
          <w:w w:val="105"/>
        </w:rPr>
        <w:t>likely?</w:t>
      </w:r>
    </w:p>
    <w:p w:rsidR="008443D8" w:rsidRDefault="00B73390">
      <w:pPr>
        <w:pStyle w:val="BodyText"/>
        <w:spacing w:line="199" w:lineRule="auto"/>
        <w:ind w:left="108" w:right="38" w:firstLine="239"/>
        <w:jc w:val="both"/>
      </w:pPr>
      <w:r>
        <w:rPr>
          <w:w w:val="105"/>
        </w:rPr>
        <w:t xml:space="preserve">Whitehouse (sect. 2, </w:t>
      </w:r>
      <w:proofErr w:type="spellStart"/>
      <w:r>
        <w:rPr>
          <w:w w:val="105"/>
        </w:rPr>
        <w:t>para</w:t>
      </w:r>
      <w:proofErr w:type="spellEnd"/>
      <w:r>
        <w:rPr>
          <w:w w:val="105"/>
        </w:rPr>
        <w:t xml:space="preserve">. 5) references </w:t>
      </w:r>
      <w:proofErr w:type="spellStart"/>
      <w:r>
        <w:rPr>
          <w:w w:val="105"/>
        </w:rPr>
        <w:t>Ginges</w:t>
      </w:r>
      <w:proofErr w:type="spellEnd"/>
      <w:r>
        <w:rPr>
          <w:w w:val="105"/>
        </w:rPr>
        <w:t xml:space="preserve"> and colleagues (</w:t>
      </w:r>
      <w:hyperlink w:anchor="_bookmark207" w:history="1">
        <w:r>
          <w:rPr>
            <w:color w:val="0000FF"/>
            <w:w w:val="105"/>
          </w:rPr>
          <w:t>2009</w:t>
        </w:r>
      </w:hyperlink>
      <w:r>
        <w:rPr>
          <w:w w:val="105"/>
        </w:rPr>
        <w:t xml:space="preserve">), specifically </w:t>
      </w:r>
      <w:proofErr w:type="gramStart"/>
      <w:r>
        <w:rPr>
          <w:w w:val="105"/>
        </w:rPr>
        <w:t>their</w:t>
      </w:r>
      <w:proofErr w:type="gramEnd"/>
      <w:r>
        <w:rPr>
          <w:w w:val="105"/>
        </w:rPr>
        <w:t xml:space="preserve"> finding that Palestinian Muslims attend- </w:t>
      </w:r>
      <w:proofErr w:type="spellStart"/>
      <w:r>
        <w:rPr>
          <w:w w:val="105"/>
        </w:rPr>
        <w:t>ing</w:t>
      </w:r>
      <w:proofErr w:type="spellEnd"/>
      <w:r>
        <w:rPr>
          <w:w w:val="105"/>
        </w:rPr>
        <w:t xml:space="preserve"> mosques are more likely to support suicide attacks. However, that article</w:t>
      </w:r>
      <w:r>
        <w:rPr>
          <w:rFonts w:ascii="Trebuchet MS" w:hAnsi="Trebuchet MS"/>
          <w:w w:val="105"/>
        </w:rPr>
        <w:t>’</w:t>
      </w:r>
      <w:r>
        <w:rPr>
          <w:w w:val="105"/>
        </w:rPr>
        <w:t>s focus is not primarily Muslims or mosques, but rather</w:t>
      </w:r>
      <w:r>
        <w:rPr>
          <w:spacing w:val="-7"/>
          <w:w w:val="105"/>
        </w:rPr>
        <w:t xml:space="preserve"> </w:t>
      </w:r>
      <w:r>
        <w:rPr>
          <w:w w:val="105"/>
        </w:rPr>
        <w:t>how,</w:t>
      </w:r>
      <w:r>
        <w:rPr>
          <w:spacing w:val="-6"/>
          <w:w w:val="105"/>
        </w:rPr>
        <w:t xml:space="preserve"> </w:t>
      </w:r>
      <w:r>
        <w:rPr>
          <w:w w:val="105"/>
        </w:rPr>
        <w:t>across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variety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religious</w:t>
      </w:r>
      <w:r>
        <w:rPr>
          <w:spacing w:val="-7"/>
          <w:w w:val="105"/>
        </w:rPr>
        <w:t xml:space="preserve"> </w:t>
      </w:r>
      <w:r>
        <w:rPr>
          <w:w w:val="105"/>
        </w:rPr>
        <w:t>contexts,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less</w:t>
      </w:r>
      <w:r>
        <w:rPr>
          <w:spacing w:val="-6"/>
          <w:w w:val="105"/>
        </w:rPr>
        <w:t xml:space="preserve"> </w:t>
      </w:r>
      <w:r>
        <w:rPr>
          <w:w w:val="105"/>
        </w:rPr>
        <w:t>religious</w:t>
      </w:r>
    </w:p>
    <w:p w:rsidR="008443D8" w:rsidRDefault="00B73390">
      <w:pPr>
        <w:pStyle w:val="BodyText"/>
        <w:spacing w:before="2" w:after="40"/>
        <w:rPr>
          <w:sz w:val="28"/>
        </w:rPr>
      </w:pPr>
      <w:r>
        <w:br w:type="column"/>
      </w:r>
    </w:p>
    <w:p w:rsidR="008443D8" w:rsidRDefault="00B73390">
      <w:pPr>
        <w:pStyle w:val="BodyText"/>
        <w:ind w:left="20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052389" cy="2243328"/>
            <wp:effectExtent l="0" t="0" r="0" b="0"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2389" cy="224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3D8" w:rsidRDefault="008443D8">
      <w:pPr>
        <w:pStyle w:val="BodyText"/>
        <w:spacing w:before="10"/>
        <w:rPr>
          <w:sz w:val="13"/>
        </w:rPr>
      </w:pPr>
    </w:p>
    <w:p w:rsidR="008443D8" w:rsidRDefault="00B73390">
      <w:pPr>
        <w:spacing w:line="256" w:lineRule="auto"/>
        <w:ind w:left="108" w:right="189"/>
        <w:jc w:val="both"/>
        <w:rPr>
          <w:rFonts w:ascii="Arial"/>
          <w:sz w:val="14"/>
        </w:rPr>
      </w:pPr>
      <w:bookmarkStart w:id="1" w:name="_bookmark9"/>
      <w:bookmarkEnd w:id="1"/>
      <w:r>
        <w:rPr>
          <w:rFonts w:ascii="Calibri"/>
          <w:sz w:val="14"/>
        </w:rPr>
        <w:t xml:space="preserve">Figure 1. (Hansen) </w:t>
      </w:r>
      <w:proofErr w:type="gramStart"/>
      <w:r>
        <w:rPr>
          <w:rFonts w:ascii="Arial"/>
          <w:sz w:val="14"/>
        </w:rPr>
        <w:t xml:space="preserve">Odds of rejecting parochial hostility as predicted by sacrificial altruism, in the six subsamples analyzed by </w:t>
      </w:r>
      <w:proofErr w:type="spellStart"/>
      <w:r>
        <w:rPr>
          <w:rFonts w:ascii="Arial"/>
          <w:sz w:val="14"/>
        </w:rPr>
        <w:t>Ginges</w:t>
      </w:r>
      <w:proofErr w:type="spellEnd"/>
      <w:r>
        <w:rPr>
          <w:rFonts w:ascii="Arial"/>
          <w:sz w:val="14"/>
        </w:rPr>
        <w:t xml:space="preserve"> et al. (</w:t>
      </w:r>
      <w:hyperlink w:anchor="_bookmark203" w:history="1">
        <w:r>
          <w:rPr>
            <w:rFonts w:ascii="Arial"/>
            <w:color w:val="0000FF"/>
            <w:sz w:val="14"/>
          </w:rPr>
          <w:t>2009</w:t>
        </w:r>
      </w:hyperlink>
      <w:r>
        <w:rPr>
          <w:rFonts w:ascii="Arial"/>
          <w:sz w:val="14"/>
        </w:rPr>
        <w:t>, Study 4).</w:t>
      </w:r>
      <w:proofErr w:type="gramEnd"/>
    </w:p>
    <w:p w:rsidR="008443D8" w:rsidRDefault="008443D8">
      <w:pPr>
        <w:pStyle w:val="BodyText"/>
        <w:spacing w:before="2"/>
        <w:rPr>
          <w:rFonts w:ascii="Arial"/>
          <w:sz w:val="22"/>
        </w:rPr>
      </w:pPr>
    </w:p>
    <w:p w:rsidR="008443D8" w:rsidRDefault="00B73390">
      <w:pPr>
        <w:pStyle w:val="BodyText"/>
        <w:spacing w:line="199" w:lineRule="auto"/>
        <w:ind w:left="108" w:right="187"/>
        <w:jc w:val="both"/>
      </w:pPr>
      <w:proofErr w:type="gramStart"/>
      <w:r>
        <w:rPr>
          <w:w w:val="105"/>
        </w:rPr>
        <w:t>aspects</w:t>
      </w:r>
      <w:proofErr w:type="gramEnd"/>
      <w:r>
        <w:rPr>
          <w:w w:val="105"/>
        </w:rPr>
        <w:t xml:space="preserve"> of religiosity (attending religious services) predict support for suicide attacks, and the more religious aspects (regular</w:t>
      </w:r>
      <w:r>
        <w:rPr>
          <w:spacing w:val="-19"/>
          <w:w w:val="105"/>
        </w:rPr>
        <w:t xml:space="preserve"> </w:t>
      </w:r>
      <w:r>
        <w:rPr>
          <w:w w:val="105"/>
        </w:rPr>
        <w:t xml:space="preserve">prayer) do not. Most relevant to the question at hand, </w:t>
      </w:r>
      <w:proofErr w:type="spellStart"/>
      <w:r>
        <w:rPr>
          <w:w w:val="105"/>
        </w:rPr>
        <w:t>Ginges</w:t>
      </w:r>
      <w:proofErr w:type="spellEnd"/>
      <w:r>
        <w:rPr>
          <w:w w:val="105"/>
        </w:rPr>
        <w:t xml:space="preserve"> and </w:t>
      </w:r>
      <w:proofErr w:type="spellStart"/>
      <w:r>
        <w:rPr>
          <w:w w:val="105"/>
        </w:rPr>
        <w:t>collea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gues</w:t>
      </w:r>
      <w:proofErr w:type="spellEnd"/>
      <w:r>
        <w:rPr>
          <w:rFonts w:ascii="Trebuchet MS" w:hAnsi="Trebuchet MS"/>
          <w:w w:val="105"/>
        </w:rPr>
        <w:t xml:space="preserve">’ </w:t>
      </w:r>
      <w:r>
        <w:rPr>
          <w:w w:val="105"/>
        </w:rPr>
        <w:t xml:space="preserve">Study 4 examines how </w:t>
      </w:r>
      <w:r>
        <w:rPr>
          <w:spacing w:val="-2"/>
          <w:w w:val="105"/>
        </w:rPr>
        <w:t xml:space="preserve">prayer </w:t>
      </w:r>
      <w:r>
        <w:rPr>
          <w:w w:val="105"/>
        </w:rPr>
        <w:t xml:space="preserve">and religious attendance pre- </w:t>
      </w:r>
      <w:proofErr w:type="spellStart"/>
      <w:r>
        <w:rPr>
          <w:w w:val="105"/>
        </w:rPr>
        <w:t>dicted</w:t>
      </w:r>
      <w:proofErr w:type="spellEnd"/>
      <w:r>
        <w:rPr>
          <w:w w:val="105"/>
        </w:rPr>
        <w:t xml:space="preserve"> </w:t>
      </w:r>
      <w:r>
        <w:rPr>
          <w:rFonts w:ascii="Trebuchet MS" w:hAnsi="Trebuchet MS"/>
          <w:w w:val="105"/>
        </w:rPr>
        <w:t>“</w:t>
      </w:r>
      <w:r>
        <w:rPr>
          <w:w w:val="105"/>
        </w:rPr>
        <w:t>parochial altruism,</w:t>
      </w:r>
      <w:r>
        <w:rPr>
          <w:rFonts w:ascii="Trebuchet MS" w:hAnsi="Trebuchet MS"/>
          <w:w w:val="105"/>
        </w:rPr>
        <w:t xml:space="preserve">” </w:t>
      </w:r>
      <w:r>
        <w:rPr>
          <w:w w:val="105"/>
        </w:rPr>
        <w:t>a compound construct measuring the simultaneous</w:t>
      </w:r>
      <w:r>
        <w:rPr>
          <w:spacing w:val="-5"/>
          <w:w w:val="105"/>
        </w:rPr>
        <w:t xml:space="preserve"> </w:t>
      </w:r>
      <w:r>
        <w:rPr>
          <w:w w:val="105"/>
        </w:rPr>
        <w:t>endorsement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two</w:t>
      </w:r>
      <w:r>
        <w:rPr>
          <w:spacing w:val="-6"/>
          <w:w w:val="105"/>
        </w:rPr>
        <w:t xml:space="preserve"> </w:t>
      </w:r>
      <w:r>
        <w:rPr>
          <w:w w:val="105"/>
        </w:rPr>
        <w:t>separate</w:t>
      </w:r>
      <w:r>
        <w:rPr>
          <w:spacing w:val="-6"/>
          <w:w w:val="105"/>
        </w:rPr>
        <w:t xml:space="preserve"> </w:t>
      </w:r>
      <w:r>
        <w:rPr>
          <w:w w:val="105"/>
        </w:rPr>
        <w:t>measures:</w:t>
      </w:r>
      <w:r>
        <w:rPr>
          <w:spacing w:val="-7"/>
          <w:w w:val="105"/>
        </w:rPr>
        <w:t xml:space="preserve"> </w:t>
      </w:r>
      <w:r>
        <w:rPr>
          <w:rFonts w:ascii="Trebuchet MS" w:hAnsi="Trebuchet MS"/>
          <w:w w:val="105"/>
        </w:rPr>
        <w:t>“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would</w:t>
      </w:r>
      <w:r>
        <w:rPr>
          <w:spacing w:val="-6"/>
          <w:w w:val="105"/>
        </w:rPr>
        <w:t xml:space="preserve"> </w:t>
      </w:r>
      <w:r>
        <w:rPr>
          <w:w w:val="105"/>
        </w:rPr>
        <w:t>die for my God/beliefs</w:t>
      </w:r>
      <w:r>
        <w:rPr>
          <w:rFonts w:ascii="Trebuchet MS" w:hAnsi="Trebuchet MS"/>
          <w:w w:val="105"/>
        </w:rPr>
        <w:t xml:space="preserve">” </w:t>
      </w:r>
      <w:r>
        <w:rPr>
          <w:w w:val="105"/>
        </w:rPr>
        <w:t xml:space="preserve">(sacrificial altruism), and </w:t>
      </w:r>
      <w:r>
        <w:rPr>
          <w:rFonts w:ascii="Trebuchet MS" w:hAnsi="Trebuchet MS"/>
          <w:w w:val="105"/>
        </w:rPr>
        <w:t>“</w:t>
      </w:r>
      <w:r>
        <w:rPr>
          <w:w w:val="105"/>
        </w:rPr>
        <w:t>I blame people of other religions for much of the trouble in this world</w:t>
      </w:r>
      <w:r>
        <w:rPr>
          <w:rFonts w:ascii="Trebuchet MS" w:hAnsi="Trebuchet MS"/>
          <w:w w:val="105"/>
        </w:rPr>
        <w:t xml:space="preserve">” </w:t>
      </w:r>
      <w:r>
        <w:rPr>
          <w:w w:val="105"/>
        </w:rPr>
        <w:t xml:space="preserve">(parochial hostility). As </w:t>
      </w:r>
      <w:proofErr w:type="spellStart"/>
      <w:r>
        <w:rPr>
          <w:w w:val="105"/>
        </w:rPr>
        <w:t>Ginges</w:t>
      </w:r>
      <w:proofErr w:type="spellEnd"/>
      <w:r>
        <w:rPr>
          <w:w w:val="105"/>
        </w:rPr>
        <w:t xml:space="preserve"> and colleagues note, </w:t>
      </w:r>
      <w:r>
        <w:rPr>
          <w:rFonts w:ascii="Trebuchet MS" w:hAnsi="Trebuchet MS"/>
          <w:w w:val="105"/>
        </w:rPr>
        <w:t>“</w:t>
      </w:r>
      <w:r>
        <w:rPr>
          <w:w w:val="105"/>
        </w:rPr>
        <w:t>The suicide attack</w:t>
      </w:r>
      <w:r>
        <w:rPr>
          <w:spacing w:val="-14"/>
          <w:w w:val="105"/>
        </w:rPr>
        <w:t xml:space="preserve"> </w:t>
      </w:r>
      <w:r>
        <w:rPr>
          <w:w w:val="105"/>
        </w:rPr>
        <w:t>can be thought of as belonging to an extreme subset of parochial altruism</w:t>
      </w:r>
      <w:r>
        <w:rPr>
          <w:rFonts w:ascii="Trebuchet MS" w:hAnsi="Trebuchet MS"/>
          <w:w w:val="105"/>
        </w:rPr>
        <w:t xml:space="preserve">” </w:t>
      </w:r>
      <w:r>
        <w:rPr>
          <w:spacing w:val="5"/>
          <w:w w:val="105"/>
        </w:rPr>
        <w:t>(p.</w:t>
      </w:r>
      <w:r>
        <w:rPr>
          <w:spacing w:val="14"/>
          <w:w w:val="105"/>
        </w:rPr>
        <w:t xml:space="preserve"> </w:t>
      </w:r>
      <w:r>
        <w:rPr>
          <w:w w:val="105"/>
        </w:rPr>
        <w:t>224).</w:t>
      </w:r>
    </w:p>
    <w:p w:rsidR="008443D8" w:rsidRDefault="00B73390">
      <w:pPr>
        <w:pStyle w:val="BodyText"/>
        <w:spacing w:line="199" w:lineRule="auto"/>
        <w:ind w:left="108" w:right="187" w:firstLine="239"/>
        <w:jc w:val="both"/>
      </w:pPr>
      <w:r>
        <w:rPr>
          <w:w w:val="105"/>
        </w:rPr>
        <w:t xml:space="preserve">The data from </w:t>
      </w:r>
      <w:proofErr w:type="spellStart"/>
      <w:r>
        <w:rPr>
          <w:w w:val="105"/>
        </w:rPr>
        <w:t>Ginges</w:t>
      </w:r>
      <w:proofErr w:type="spellEnd"/>
      <w:r>
        <w:rPr>
          <w:w w:val="105"/>
        </w:rPr>
        <w:t xml:space="preserve"> and colleagues</w:t>
      </w:r>
      <w:r>
        <w:rPr>
          <w:rFonts w:ascii="Trebuchet MS" w:hAnsi="Trebuchet MS"/>
          <w:w w:val="105"/>
        </w:rPr>
        <w:t xml:space="preserve">’ </w:t>
      </w:r>
      <w:r>
        <w:rPr>
          <w:w w:val="105"/>
        </w:rPr>
        <w:t xml:space="preserve">Study 4 (the </w:t>
      </w:r>
      <w:r>
        <w:rPr>
          <w:rFonts w:ascii="Trebuchet MS" w:hAnsi="Trebuchet MS"/>
          <w:w w:val="105"/>
        </w:rPr>
        <w:t>“</w:t>
      </w:r>
      <w:proofErr w:type="spellStart"/>
      <w:r>
        <w:rPr>
          <w:w w:val="105"/>
        </w:rPr>
        <w:t>Ginges</w:t>
      </w:r>
      <w:proofErr w:type="spellEnd"/>
      <w:r>
        <w:rPr>
          <w:w w:val="105"/>
        </w:rPr>
        <w:t xml:space="preserve"> sample</w:t>
      </w:r>
      <w:r>
        <w:rPr>
          <w:rFonts w:ascii="Trebuchet MS" w:hAnsi="Trebuchet MS"/>
          <w:w w:val="105"/>
        </w:rPr>
        <w:t>”</w:t>
      </w:r>
      <w:r>
        <w:rPr>
          <w:w w:val="105"/>
        </w:rPr>
        <w:t>) offer an opportunity for investigating the relationship between sacrificial altruism (SA) and parochial hostility (PH) as separable</w:t>
      </w:r>
      <w:r>
        <w:rPr>
          <w:spacing w:val="-7"/>
          <w:w w:val="105"/>
        </w:rPr>
        <w:t xml:space="preserve"> </w:t>
      </w:r>
      <w:r>
        <w:rPr>
          <w:w w:val="105"/>
        </w:rPr>
        <w:t>inclinations.</w:t>
      </w:r>
      <w:r>
        <w:rPr>
          <w:spacing w:val="-7"/>
          <w:w w:val="105"/>
        </w:rPr>
        <w:t xml:space="preserve"> </w:t>
      </w:r>
      <w:hyperlink w:anchor="_bookmark9" w:history="1">
        <w:r>
          <w:rPr>
            <w:color w:val="0000FF"/>
            <w:w w:val="105"/>
          </w:rPr>
          <w:t>Figure</w:t>
        </w:r>
        <w:r>
          <w:rPr>
            <w:color w:val="0000FF"/>
            <w:spacing w:val="-8"/>
            <w:w w:val="105"/>
          </w:rPr>
          <w:t xml:space="preserve"> </w:t>
        </w:r>
        <w:r>
          <w:rPr>
            <w:color w:val="0000FF"/>
            <w:w w:val="105"/>
          </w:rPr>
          <w:t>1</w:t>
        </w:r>
        <w:r>
          <w:rPr>
            <w:color w:val="0000FF"/>
            <w:spacing w:val="-5"/>
            <w:w w:val="105"/>
          </w:rPr>
          <w:t xml:space="preserve"> </w:t>
        </w:r>
      </w:hyperlink>
      <w:r>
        <w:rPr>
          <w:w w:val="105"/>
        </w:rPr>
        <w:t>illustrates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results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new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ana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lysis</w:t>
      </w:r>
      <w:proofErr w:type="spellEnd"/>
      <w:r>
        <w:rPr>
          <w:w w:val="105"/>
        </w:rPr>
        <w:t xml:space="preserve"> of the relation between SA and rejection of PH in the</w:t>
      </w:r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Ginges</w:t>
      </w:r>
      <w:proofErr w:type="spellEnd"/>
      <w:r>
        <w:rPr>
          <w:w w:val="105"/>
        </w:rPr>
        <w:t xml:space="preserve"> sample.</w:t>
      </w:r>
    </w:p>
    <w:p w:rsidR="008443D8" w:rsidRDefault="00A63B8F">
      <w:pPr>
        <w:pStyle w:val="BodyText"/>
        <w:spacing w:line="199" w:lineRule="auto"/>
        <w:ind w:left="108" w:right="188" w:firstLine="239"/>
        <w:jc w:val="both"/>
      </w:pPr>
      <w:hyperlink w:anchor="_bookmark9" w:history="1">
        <w:r w:rsidR="00B73390">
          <w:rPr>
            <w:color w:val="0000FF"/>
            <w:w w:val="105"/>
          </w:rPr>
          <w:t xml:space="preserve">Figure 1 </w:t>
        </w:r>
      </w:hyperlink>
      <w:r w:rsidR="00B73390">
        <w:rPr>
          <w:w w:val="105"/>
        </w:rPr>
        <w:t xml:space="preserve">suggests that, although the relationship varied some- what from subgroup to subgroup, SA manifested distinctly anti- hostile tendencies in the full </w:t>
      </w:r>
      <w:proofErr w:type="spellStart"/>
      <w:r w:rsidR="00B73390">
        <w:rPr>
          <w:w w:val="105"/>
        </w:rPr>
        <w:t>Ginges</w:t>
      </w:r>
      <w:proofErr w:type="spellEnd"/>
      <w:r w:rsidR="00B73390">
        <w:rPr>
          <w:w w:val="105"/>
        </w:rPr>
        <w:t xml:space="preserve"> sample. This finding may reflect</w:t>
      </w:r>
      <w:r w:rsidR="00B73390">
        <w:rPr>
          <w:spacing w:val="-14"/>
          <w:w w:val="105"/>
        </w:rPr>
        <w:t xml:space="preserve"> </w:t>
      </w:r>
      <w:r w:rsidR="00B73390">
        <w:rPr>
          <w:w w:val="105"/>
        </w:rPr>
        <w:t>sacrificial</w:t>
      </w:r>
      <w:r w:rsidR="00B73390">
        <w:rPr>
          <w:spacing w:val="-14"/>
          <w:w w:val="105"/>
        </w:rPr>
        <w:t xml:space="preserve"> </w:t>
      </w:r>
      <w:r w:rsidR="00B73390">
        <w:rPr>
          <w:w w:val="105"/>
        </w:rPr>
        <w:t>altruism</w:t>
      </w:r>
      <w:r w:rsidR="00B73390">
        <w:rPr>
          <w:spacing w:val="-15"/>
          <w:w w:val="105"/>
        </w:rPr>
        <w:t xml:space="preserve"> </w:t>
      </w:r>
      <w:r w:rsidR="00B73390">
        <w:rPr>
          <w:w w:val="105"/>
        </w:rPr>
        <w:t>being</w:t>
      </w:r>
      <w:r w:rsidR="00B73390">
        <w:rPr>
          <w:spacing w:val="-13"/>
          <w:w w:val="105"/>
        </w:rPr>
        <w:t xml:space="preserve"> </w:t>
      </w:r>
      <w:r w:rsidR="00B73390">
        <w:rPr>
          <w:w w:val="105"/>
        </w:rPr>
        <w:t>a</w:t>
      </w:r>
      <w:r w:rsidR="00B73390">
        <w:rPr>
          <w:spacing w:val="-18"/>
          <w:w w:val="105"/>
        </w:rPr>
        <w:t xml:space="preserve"> </w:t>
      </w:r>
      <w:r w:rsidR="00B73390">
        <w:rPr>
          <w:w w:val="105"/>
        </w:rPr>
        <w:t>core</w:t>
      </w:r>
      <w:r w:rsidR="00B73390">
        <w:rPr>
          <w:spacing w:val="-15"/>
          <w:w w:val="105"/>
        </w:rPr>
        <w:t xml:space="preserve"> </w:t>
      </w:r>
      <w:r w:rsidR="00B73390">
        <w:rPr>
          <w:w w:val="105"/>
        </w:rPr>
        <w:t>feature</w:t>
      </w:r>
      <w:r w:rsidR="00B73390">
        <w:rPr>
          <w:spacing w:val="-15"/>
          <w:w w:val="105"/>
        </w:rPr>
        <w:t xml:space="preserve"> </w:t>
      </w:r>
      <w:r w:rsidR="00B73390">
        <w:rPr>
          <w:w w:val="105"/>
        </w:rPr>
        <w:t>of</w:t>
      </w:r>
      <w:r w:rsidR="00B73390">
        <w:rPr>
          <w:spacing w:val="-15"/>
          <w:w w:val="105"/>
        </w:rPr>
        <w:t xml:space="preserve"> </w:t>
      </w:r>
      <w:r w:rsidR="00B73390">
        <w:rPr>
          <w:w w:val="105"/>
        </w:rPr>
        <w:t>religiosity,</w:t>
      </w:r>
      <w:r w:rsidR="00B73390">
        <w:rPr>
          <w:spacing w:val="-15"/>
          <w:w w:val="105"/>
        </w:rPr>
        <w:t xml:space="preserve"> </w:t>
      </w:r>
      <w:proofErr w:type="spellStart"/>
      <w:r w:rsidR="00B73390">
        <w:rPr>
          <w:w w:val="105"/>
        </w:rPr>
        <w:t>specif</w:t>
      </w:r>
      <w:proofErr w:type="spellEnd"/>
      <w:r w:rsidR="00B73390">
        <w:rPr>
          <w:w w:val="105"/>
        </w:rPr>
        <w:t xml:space="preserve">- </w:t>
      </w:r>
      <w:proofErr w:type="spellStart"/>
      <w:r w:rsidR="00B73390">
        <w:rPr>
          <w:w w:val="105"/>
        </w:rPr>
        <w:t>ically</w:t>
      </w:r>
      <w:proofErr w:type="spellEnd"/>
      <w:r w:rsidR="00B73390">
        <w:rPr>
          <w:w w:val="105"/>
        </w:rPr>
        <w:t xml:space="preserve"> embodying the </w:t>
      </w:r>
      <w:r w:rsidR="00B73390">
        <w:rPr>
          <w:rFonts w:ascii="Trebuchet MS" w:hAnsi="Trebuchet MS"/>
          <w:w w:val="105"/>
        </w:rPr>
        <w:t>“</w:t>
      </w:r>
      <w:r w:rsidR="00B73390">
        <w:rPr>
          <w:w w:val="105"/>
        </w:rPr>
        <w:t>commitment</w:t>
      </w:r>
      <w:r w:rsidR="00B73390">
        <w:rPr>
          <w:rFonts w:ascii="Trebuchet MS" w:hAnsi="Trebuchet MS"/>
          <w:w w:val="105"/>
        </w:rPr>
        <w:t xml:space="preserve">” </w:t>
      </w:r>
      <w:r w:rsidR="00B73390">
        <w:rPr>
          <w:w w:val="105"/>
        </w:rPr>
        <w:t xml:space="preserve">aspect identified by </w:t>
      </w:r>
      <w:proofErr w:type="spellStart"/>
      <w:r w:rsidR="00B73390">
        <w:rPr>
          <w:spacing w:val="-4"/>
          <w:w w:val="105"/>
        </w:rPr>
        <w:t>Atran</w:t>
      </w:r>
      <w:proofErr w:type="spellEnd"/>
      <w:r w:rsidR="00B73390">
        <w:rPr>
          <w:spacing w:val="-4"/>
          <w:w w:val="105"/>
        </w:rPr>
        <w:t xml:space="preserve"> </w:t>
      </w:r>
      <w:r w:rsidR="00B73390">
        <w:rPr>
          <w:w w:val="105"/>
        </w:rPr>
        <w:t xml:space="preserve">and </w:t>
      </w:r>
      <w:proofErr w:type="spellStart"/>
      <w:r w:rsidR="00B73390">
        <w:rPr>
          <w:w w:val="105"/>
        </w:rPr>
        <w:t>Norenzayan</w:t>
      </w:r>
      <w:proofErr w:type="spellEnd"/>
      <w:r w:rsidR="00B73390">
        <w:rPr>
          <w:spacing w:val="23"/>
          <w:w w:val="105"/>
        </w:rPr>
        <w:t xml:space="preserve"> </w:t>
      </w:r>
      <w:r w:rsidR="00B73390">
        <w:rPr>
          <w:w w:val="105"/>
        </w:rPr>
        <w:t>(</w:t>
      </w:r>
      <w:hyperlink w:anchor="_bookmark48" w:history="1">
        <w:r w:rsidR="00B73390">
          <w:rPr>
            <w:color w:val="0000FF"/>
            <w:w w:val="105"/>
          </w:rPr>
          <w:t>2004</w:t>
        </w:r>
      </w:hyperlink>
      <w:r w:rsidR="00B73390">
        <w:rPr>
          <w:w w:val="105"/>
        </w:rPr>
        <w:t>).</w:t>
      </w:r>
    </w:p>
    <w:p w:rsidR="008443D8" w:rsidRDefault="00B73390">
      <w:pPr>
        <w:pStyle w:val="BodyText"/>
        <w:spacing w:line="199" w:lineRule="auto"/>
        <w:ind w:left="108" w:right="187" w:firstLine="239"/>
        <w:jc w:val="both"/>
      </w:pPr>
      <w:r>
        <w:rPr>
          <w:spacing w:val="-3"/>
          <w:w w:val="110"/>
        </w:rPr>
        <w:t xml:space="preserve">Indeed, Hansen </w:t>
      </w:r>
      <w:r>
        <w:rPr>
          <w:w w:val="110"/>
        </w:rPr>
        <w:t xml:space="preserve">et al. </w:t>
      </w:r>
      <w:r>
        <w:rPr>
          <w:spacing w:val="-3"/>
          <w:w w:val="110"/>
        </w:rPr>
        <w:t>(</w:t>
      </w:r>
      <w:hyperlink w:anchor="_bookmark230" w:history="1">
        <w:r>
          <w:rPr>
            <w:color w:val="0000FF"/>
            <w:spacing w:val="-3"/>
            <w:w w:val="110"/>
          </w:rPr>
          <w:t>2018</w:t>
        </w:r>
      </w:hyperlink>
      <w:r>
        <w:rPr>
          <w:spacing w:val="-3"/>
          <w:w w:val="110"/>
        </w:rPr>
        <w:t xml:space="preserve">), </w:t>
      </w:r>
      <w:r>
        <w:rPr>
          <w:spacing w:val="-4"/>
          <w:w w:val="110"/>
        </w:rPr>
        <w:t xml:space="preserve">referencing </w:t>
      </w:r>
      <w:proofErr w:type="spellStart"/>
      <w:r>
        <w:rPr>
          <w:spacing w:val="-4"/>
          <w:w w:val="110"/>
        </w:rPr>
        <w:t>Atran</w:t>
      </w:r>
      <w:proofErr w:type="spellEnd"/>
      <w:r>
        <w:rPr>
          <w:spacing w:val="-4"/>
          <w:w w:val="110"/>
        </w:rPr>
        <w:t xml:space="preserve"> </w:t>
      </w:r>
      <w:r>
        <w:rPr>
          <w:spacing w:val="-3"/>
          <w:w w:val="110"/>
        </w:rPr>
        <w:t xml:space="preserve">and </w:t>
      </w:r>
      <w:proofErr w:type="spellStart"/>
      <w:r>
        <w:rPr>
          <w:spacing w:val="-5"/>
          <w:w w:val="110"/>
        </w:rPr>
        <w:t>Norenza</w:t>
      </w:r>
      <w:proofErr w:type="spellEnd"/>
      <w:r>
        <w:rPr>
          <w:spacing w:val="-5"/>
          <w:w w:val="110"/>
        </w:rPr>
        <w:t xml:space="preserve">- </w:t>
      </w:r>
      <w:proofErr w:type="spellStart"/>
      <w:r>
        <w:rPr>
          <w:spacing w:val="-4"/>
          <w:w w:val="105"/>
        </w:rPr>
        <w:t>yan</w:t>
      </w:r>
      <w:r>
        <w:rPr>
          <w:rFonts w:ascii="Trebuchet MS" w:hAnsi="Trebuchet MS"/>
          <w:spacing w:val="-4"/>
          <w:w w:val="105"/>
        </w:rPr>
        <w:t>’</w:t>
      </w:r>
      <w:r>
        <w:rPr>
          <w:spacing w:val="-4"/>
          <w:w w:val="105"/>
        </w:rPr>
        <w:t>s</w:t>
      </w:r>
      <w:proofErr w:type="spellEnd"/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(</w:t>
      </w:r>
      <w:hyperlink w:anchor="_bookmark48" w:history="1">
        <w:r>
          <w:rPr>
            <w:color w:val="0000FF"/>
            <w:spacing w:val="-3"/>
            <w:w w:val="105"/>
          </w:rPr>
          <w:t>2004</w:t>
        </w:r>
      </w:hyperlink>
      <w:r>
        <w:rPr>
          <w:spacing w:val="-3"/>
          <w:w w:val="105"/>
        </w:rPr>
        <w:t>)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taxonomy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religious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features,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includes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sacrificial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3"/>
          <w:w w:val="105"/>
        </w:rPr>
        <w:t>altru</w:t>
      </w:r>
      <w:proofErr w:type="spellEnd"/>
      <w:r>
        <w:rPr>
          <w:spacing w:val="-3"/>
          <w:w w:val="105"/>
        </w:rPr>
        <w:t xml:space="preserve">- </w:t>
      </w:r>
      <w:r>
        <w:rPr>
          <w:w w:val="110"/>
        </w:rPr>
        <w:t>ism</w:t>
      </w:r>
      <w:r>
        <w:rPr>
          <w:spacing w:val="-6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spacing w:val="-3"/>
          <w:w w:val="110"/>
        </w:rPr>
        <w:t>their</w:t>
      </w:r>
      <w:r>
        <w:rPr>
          <w:spacing w:val="-5"/>
          <w:w w:val="110"/>
        </w:rPr>
        <w:t xml:space="preserve"> </w:t>
      </w:r>
      <w:r>
        <w:rPr>
          <w:spacing w:val="-4"/>
          <w:w w:val="110"/>
        </w:rPr>
        <w:t>index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religiosity</w:t>
      </w:r>
      <w:r>
        <w:rPr>
          <w:spacing w:val="-6"/>
          <w:w w:val="110"/>
        </w:rPr>
        <w:t xml:space="preserve"> </w:t>
      </w:r>
      <w:r>
        <w:rPr>
          <w:w w:val="110"/>
        </w:rPr>
        <w:t>(</w:t>
      </w:r>
      <w:r>
        <w:rPr>
          <w:rFonts w:ascii="Calibri" w:hAnsi="Calibri"/>
          <w:w w:val="110"/>
        </w:rPr>
        <w:t>α</w:t>
      </w:r>
      <w:r>
        <w:rPr>
          <w:rFonts w:ascii="Calibri" w:hAnsi="Calibri"/>
          <w:spacing w:val="-21"/>
          <w:w w:val="110"/>
        </w:rPr>
        <w:t xml:space="preserve"> </w:t>
      </w:r>
      <w:r>
        <w:rPr>
          <w:w w:val="110"/>
        </w:rPr>
        <w:t>=</w:t>
      </w:r>
      <w:r>
        <w:rPr>
          <w:spacing w:val="-30"/>
          <w:w w:val="110"/>
        </w:rPr>
        <w:t xml:space="preserve"> </w:t>
      </w:r>
      <w:r>
        <w:rPr>
          <w:spacing w:val="-3"/>
          <w:w w:val="110"/>
        </w:rPr>
        <w:t>.72).</w:t>
      </w:r>
      <w:r>
        <w:rPr>
          <w:spacing w:val="-4"/>
          <w:w w:val="110"/>
        </w:rPr>
        <w:t xml:space="preserve"> </w:t>
      </w:r>
      <w:r>
        <w:rPr>
          <w:spacing w:val="-3"/>
          <w:w w:val="110"/>
        </w:rPr>
        <w:t>This</w:t>
      </w:r>
      <w:r>
        <w:rPr>
          <w:spacing w:val="-6"/>
          <w:w w:val="110"/>
        </w:rPr>
        <w:t xml:space="preserve"> </w:t>
      </w:r>
      <w:r>
        <w:rPr>
          <w:spacing w:val="-4"/>
          <w:w w:val="110"/>
        </w:rPr>
        <w:t xml:space="preserve">index </w:t>
      </w:r>
      <w:r>
        <w:rPr>
          <w:spacing w:val="-3"/>
          <w:w w:val="110"/>
        </w:rPr>
        <w:t>also</w:t>
      </w:r>
      <w:r>
        <w:rPr>
          <w:spacing w:val="-5"/>
          <w:w w:val="110"/>
        </w:rPr>
        <w:t xml:space="preserve"> </w:t>
      </w:r>
      <w:r>
        <w:rPr>
          <w:spacing w:val="-4"/>
          <w:w w:val="110"/>
        </w:rPr>
        <w:t xml:space="preserve">includes </w:t>
      </w:r>
      <w:r>
        <w:rPr>
          <w:spacing w:val="-3"/>
          <w:w w:val="110"/>
        </w:rPr>
        <w:t>belief</w:t>
      </w:r>
      <w:r>
        <w:rPr>
          <w:spacing w:val="-23"/>
          <w:w w:val="110"/>
        </w:rPr>
        <w:t xml:space="preserve"> </w:t>
      </w:r>
      <w:r>
        <w:rPr>
          <w:w w:val="110"/>
        </w:rPr>
        <w:t>in</w:t>
      </w:r>
      <w:r>
        <w:rPr>
          <w:spacing w:val="-21"/>
          <w:w w:val="110"/>
        </w:rPr>
        <w:t xml:space="preserve"> </w:t>
      </w:r>
      <w:r>
        <w:rPr>
          <w:spacing w:val="-3"/>
          <w:w w:val="110"/>
        </w:rPr>
        <w:t>God,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attendance</w:t>
      </w:r>
      <w:r>
        <w:rPr>
          <w:spacing w:val="-21"/>
          <w:w w:val="110"/>
        </w:rPr>
        <w:t xml:space="preserve"> </w:t>
      </w:r>
      <w:r>
        <w:rPr>
          <w:spacing w:val="-4"/>
          <w:w w:val="110"/>
        </w:rPr>
        <w:t>at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>religious</w:t>
      </w:r>
      <w:r>
        <w:rPr>
          <w:spacing w:val="-21"/>
          <w:w w:val="110"/>
        </w:rPr>
        <w:t xml:space="preserve"> </w:t>
      </w:r>
      <w:r>
        <w:rPr>
          <w:spacing w:val="-3"/>
          <w:w w:val="110"/>
        </w:rPr>
        <w:t>services,</w:t>
      </w:r>
      <w:r>
        <w:rPr>
          <w:spacing w:val="-20"/>
          <w:w w:val="110"/>
        </w:rPr>
        <w:t xml:space="preserve"> </w:t>
      </w:r>
      <w:r>
        <w:rPr>
          <w:spacing w:val="-3"/>
          <w:w w:val="110"/>
        </w:rPr>
        <w:t>belief</w:t>
      </w:r>
      <w:r>
        <w:rPr>
          <w:spacing w:val="-21"/>
          <w:w w:val="110"/>
        </w:rPr>
        <w:t xml:space="preserve"> </w:t>
      </w:r>
      <w:r>
        <w:rPr>
          <w:w w:val="110"/>
        </w:rPr>
        <w:t>in</w:t>
      </w:r>
      <w:r>
        <w:rPr>
          <w:spacing w:val="-21"/>
          <w:w w:val="110"/>
        </w:rPr>
        <w:t xml:space="preserve"> </w:t>
      </w:r>
      <w:r>
        <w:rPr>
          <w:spacing w:val="-3"/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spacing w:val="-4"/>
          <w:w w:val="110"/>
        </w:rPr>
        <w:t xml:space="preserve">afterlife, </w:t>
      </w:r>
      <w:r>
        <w:rPr>
          <w:spacing w:val="-3"/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regular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prayer</w:t>
      </w:r>
      <w:r>
        <w:rPr>
          <w:spacing w:val="-13"/>
          <w:w w:val="110"/>
        </w:rPr>
        <w:t xml:space="preserve"> </w:t>
      </w:r>
      <w:r>
        <w:rPr>
          <w:spacing w:val="-3"/>
          <w:w w:val="110"/>
        </w:rPr>
        <w:t>(Hansen</w:t>
      </w:r>
      <w:r>
        <w:rPr>
          <w:spacing w:val="-14"/>
          <w:w w:val="110"/>
        </w:rPr>
        <w:t xml:space="preserve"> </w:t>
      </w:r>
      <w:r>
        <w:rPr>
          <w:w w:val="110"/>
        </w:rPr>
        <w:t>et</w:t>
      </w:r>
      <w:r>
        <w:rPr>
          <w:spacing w:val="-15"/>
          <w:w w:val="110"/>
        </w:rPr>
        <w:t xml:space="preserve"> </w:t>
      </w:r>
      <w:r>
        <w:rPr>
          <w:w w:val="110"/>
        </w:rPr>
        <w:t>al.</w:t>
      </w:r>
      <w:r>
        <w:rPr>
          <w:spacing w:val="-14"/>
          <w:w w:val="110"/>
        </w:rPr>
        <w:t xml:space="preserve"> </w:t>
      </w:r>
      <w:hyperlink w:anchor="_bookmark230" w:history="1">
        <w:r>
          <w:rPr>
            <w:color w:val="0000FF"/>
            <w:spacing w:val="-3"/>
            <w:w w:val="110"/>
          </w:rPr>
          <w:t>2018</w:t>
        </w:r>
      </w:hyperlink>
      <w:r>
        <w:rPr>
          <w:spacing w:val="-3"/>
          <w:w w:val="110"/>
        </w:rPr>
        <w:t>,</w:t>
      </w:r>
      <w:r>
        <w:rPr>
          <w:spacing w:val="-14"/>
          <w:w w:val="110"/>
        </w:rPr>
        <w:t xml:space="preserve"> </w:t>
      </w:r>
      <w:r>
        <w:rPr>
          <w:w w:val="110"/>
        </w:rPr>
        <w:t>pp.</w:t>
      </w:r>
      <w:r>
        <w:rPr>
          <w:spacing w:val="-15"/>
          <w:w w:val="110"/>
        </w:rPr>
        <w:t xml:space="preserve"> </w:t>
      </w:r>
      <w:r>
        <w:rPr>
          <w:spacing w:val="-3"/>
          <w:w w:val="110"/>
        </w:rPr>
        <w:t>380</w:t>
      </w:r>
      <w:r>
        <w:rPr>
          <w:rFonts w:ascii="Trebuchet MS" w:hAnsi="Trebuchet MS"/>
          <w:spacing w:val="-3"/>
          <w:w w:val="110"/>
        </w:rPr>
        <w:t>–</w:t>
      </w:r>
      <w:r>
        <w:rPr>
          <w:spacing w:val="-3"/>
          <w:w w:val="110"/>
        </w:rPr>
        <w:t>81).</w:t>
      </w:r>
      <w:r>
        <w:rPr>
          <w:spacing w:val="-14"/>
          <w:w w:val="110"/>
        </w:rPr>
        <w:t xml:space="preserve"> </w:t>
      </w:r>
      <w:r>
        <w:rPr>
          <w:spacing w:val="-3"/>
          <w:w w:val="110"/>
        </w:rPr>
        <w:t>Among</w:t>
      </w:r>
      <w:r>
        <w:rPr>
          <w:spacing w:val="-13"/>
          <w:w w:val="110"/>
        </w:rPr>
        <w:t xml:space="preserve"> </w:t>
      </w:r>
      <w:proofErr w:type="spellStart"/>
      <w:r>
        <w:rPr>
          <w:spacing w:val="-4"/>
          <w:w w:val="110"/>
        </w:rPr>
        <w:t>coun</w:t>
      </w:r>
      <w:proofErr w:type="spellEnd"/>
      <w:r>
        <w:rPr>
          <w:spacing w:val="-4"/>
          <w:w w:val="110"/>
        </w:rPr>
        <w:t xml:space="preserve">- </w:t>
      </w:r>
      <w:r>
        <w:rPr>
          <w:spacing w:val="-3"/>
          <w:w w:val="110"/>
        </w:rPr>
        <w:t xml:space="preserve">tries </w:t>
      </w:r>
      <w:r>
        <w:rPr>
          <w:w w:val="110"/>
        </w:rPr>
        <w:t xml:space="preserve">of </w:t>
      </w:r>
      <w:r>
        <w:rPr>
          <w:spacing w:val="-3"/>
          <w:w w:val="110"/>
        </w:rPr>
        <w:t xml:space="preserve">comparable human </w:t>
      </w:r>
      <w:r>
        <w:rPr>
          <w:spacing w:val="-4"/>
          <w:w w:val="110"/>
        </w:rPr>
        <w:t xml:space="preserve">development, </w:t>
      </w:r>
      <w:r>
        <w:rPr>
          <w:spacing w:val="-3"/>
          <w:w w:val="110"/>
        </w:rPr>
        <w:t xml:space="preserve">this </w:t>
      </w:r>
      <w:r>
        <w:rPr>
          <w:spacing w:val="-4"/>
          <w:w w:val="110"/>
        </w:rPr>
        <w:t xml:space="preserve">index was </w:t>
      </w:r>
      <w:r>
        <w:rPr>
          <w:w w:val="110"/>
        </w:rPr>
        <w:t xml:space="preserve">(a) </w:t>
      </w:r>
      <w:proofErr w:type="spellStart"/>
      <w:r>
        <w:rPr>
          <w:spacing w:val="-3"/>
          <w:w w:val="110"/>
        </w:rPr>
        <w:t>posi</w:t>
      </w:r>
      <w:proofErr w:type="spellEnd"/>
      <w:r>
        <w:rPr>
          <w:spacing w:val="-3"/>
          <w:w w:val="110"/>
        </w:rPr>
        <w:t xml:space="preserve">- </w:t>
      </w:r>
      <w:proofErr w:type="spellStart"/>
      <w:r>
        <w:rPr>
          <w:spacing w:val="-4"/>
          <w:w w:val="110"/>
        </w:rPr>
        <w:t>tively</w:t>
      </w:r>
      <w:proofErr w:type="spellEnd"/>
      <w:r>
        <w:rPr>
          <w:spacing w:val="-4"/>
          <w:w w:val="110"/>
        </w:rPr>
        <w:t xml:space="preserve"> related </w:t>
      </w:r>
      <w:r>
        <w:rPr>
          <w:w w:val="110"/>
        </w:rPr>
        <w:t xml:space="preserve">to </w:t>
      </w:r>
      <w:r>
        <w:rPr>
          <w:spacing w:val="-4"/>
          <w:w w:val="110"/>
        </w:rPr>
        <w:t xml:space="preserve">Freedom House ratings </w:t>
      </w:r>
      <w:r>
        <w:rPr>
          <w:w w:val="110"/>
        </w:rPr>
        <w:t xml:space="preserve">of </w:t>
      </w:r>
      <w:r>
        <w:rPr>
          <w:spacing w:val="-4"/>
          <w:w w:val="110"/>
        </w:rPr>
        <w:t xml:space="preserve">national protection </w:t>
      </w:r>
      <w:r>
        <w:rPr>
          <w:w w:val="110"/>
        </w:rPr>
        <w:t xml:space="preserve">of </w:t>
      </w:r>
      <w:r>
        <w:rPr>
          <w:spacing w:val="-3"/>
          <w:w w:val="110"/>
        </w:rPr>
        <w:t xml:space="preserve">political rights </w:t>
      </w:r>
      <w:r>
        <w:rPr>
          <w:w w:val="110"/>
        </w:rPr>
        <w:t xml:space="preserve">and </w:t>
      </w:r>
      <w:r>
        <w:rPr>
          <w:spacing w:val="-3"/>
          <w:w w:val="110"/>
        </w:rPr>
        <w:t xml:space="preserve">civil liberties </w:t>
      </w:r>
      <w:r>
        <w:rPr>
          <w:w w:val="110"/>
        </w:rPr>
        <w:t xml:space="preserve">and (b) </w:t>
      </w:r>
      <w:r>
        <w:rPr>
          <w:spacing w:val="-4"/>
          <w:w w:val="110"/>
        </w:rPr>
        <w:t xml:space="preserve">negatively related </w:t>
      </w:r>
      <w:r>
        <w:rPr>
          <w:w w:val="110"/>
        </w:rPr>
        <w:t xml:space="preserve">to the </w:t>
      </w:r>
      <w:r>
        <w:rPr>
          <w:spacing w:val="-3"/>
          <w:w w:val="110"/>
        </w:rPr>
        <w:t>number</w:t>
      </w:r>
      <w:r>
        <w:rPr>
          <w:spacing w:val="-19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refugees</w:t>
      </w:r>
      <w:r>
        <w:rPr>
          <w:spacing w:val="-15"/>
          <w:w w:val="110"/>
        </w:rPr>
        <w:t xml:space="preserve"> </w:t>
      </w:r>
      <w:r>
        <w:rPr>
          <w:spacing w:val="-3"/>
          <w:w w:val="110"/>
        </w:rPr>
        <w:t>fleeing</w:t>
      </w:r>
      <w:r>
        <w:rPr>
          <w:spacing w:val="-15"/>
          <w:w w:val="110"/>
        </w:rPr>
        <w:t xml:space="preserve"> </w:t>
      </w:r>
      <w:r>
        <w:rPr>
          <w:spacing w:val="-3"/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spacing w:val="-3"/>
          <w:w w:val="110"/>
        </w:rPr>
        <w:t>country</w:t>
      </w:r>
      <w:r>
        <w:rPr>
          <w:spacing w:val="-13"/>
          <w:w w:val="110"/>
        </w:rPr>
        <w:t xml:space="preserve"> </w:t>
      </w:r>
      <w:r>
        <w:rPr>
          <w:rFonts w:ascii="Trebuchet MS" w:hAnsi="Trebuchet MS"/>
          <w:w w:val="110"/>
        </w:rPr>
        <w:t>–</w:t>
      </w:r>
      <w:r>
        <w:rPr>
          <w:rFonts w:ascii="Trebuchet MS" w:hAnsi="Trebuchet MS"/>
          <w:spacing w:val="-2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latter</w:t>
      </w:r>
      <w:r>
        <w:rPr>
          <w:spacing w:val="-15"/>
          <w:w w:val="110"/>
        </w:rPr>
        <w:t xml:space="preserve"> </w:t>
      </w:r>
      <w:r>
        <w:rPr>
          <w:spacing w:val="-3"/>
          <w:w w:val="110"/>
        </w:rPr>
        <w:t>being</w:t>
      </w:r>
      <w:r>
        <w:rPr>
          <w:spacing w:val="-14"/>
          <w:w w:val="110"/>
        </w:rPr>
        <w:t xml:space="preserve"> </w:t>
      </w:r>
      <w:r>
        <w:rPr>
          <w:w w:val="110"/>
        </w:rPr>
        <w:t>an</w:t>
      </w:r>
      <w:r>
        <w:rPr>
          <w:spacing w:val="-15"/>
          <w:w w:val="110"/>
        </w:rPr>
        <w:t xml:space="preserve"> </w:t>
      </w:r>
      <w:proofErr w:type="spellStart"/>
      <w:r>
        <w:rPr>
          <w:spacing w:val="-3"/>
          <w:w w:val="110"/>
        </w:rPr>
        <w:t>indica</w:t>
      </w:r>
      <w:proofErr w:type="spellEnd"/>
      <w:r>
        <w:rPr>
          <w:spacing w:val="-3"/>
          <w:w w:val="110"/>
        </w:rPr>
        <w:t xml:space="preserve">- tor not only </w:t>
      </w:r>
      <w:r>
        <w:rPr>
          <w:w w:val="110"/>
        </w:rPr>
        <w:t xml:space="preserve">of </w:t>
      </w:r>
      <w:r>
        <w:rPr>
          <w:spacing w:val="-3"/>
          <w:w w:val="110"/>
        </w:rPr>
        <w:t xml:space="preserve">lack </w:t>
      </w:r>
      <w:r>
        <w:rPr>
          <w:w w:val="110"/>
        </w:rPr>
        <w:t xml:space="preserve">of </w:t>
      </w:r>
      <w:r>
        <w:rPr>
          <w:spacing w:val="-4"/>
          <w:w w:val="110"/>
        </w:rPr>
        <w:t xml:space="preserve">liberty </w:t>
      </w:r>
      <w:r>
        <w:rPr>
          <w:spacing w:val="-3"/>
          <w:w w:val="110"/>
        </w:rPr>
        <w:t xml:space="preserve">but also </w:t>
      </w:r>
      <w:r>
        <w:rPr>
          <w:w w:val="110"/>
        </w:rPr>
        <w:t xml:space="preserve">of </w:t>
      </w:r>
      <w:r>
        <w:rPr>
          <w:spacing w:val="-3"/>
          <w:w w:val="110"/>
        </w:rPr>
        <w:t xml:space="preserve">violent conflict </w:t>
      </w:r>
      <w:r>
        <w:rPr>
          <w:spacing w:val="-4"/>
          <w:w w:val="110"/>
        </w:rPr>
        <w:t xml:space="preserve">(Hansen </w:t>
      </w:r>
      <w:r>
        <w:rPr>
          <w:w w:val="110"/>
        </w:rPr>
        <w:t>et</w:t>
      </w:r>
      <w:r>
        <w:rPr>
          <w:spacing w:val="-15"/>
          <w:w w:val="110"/>
        </w:rPr>
        <w:t xml:space="preserve"> </w:t>
      </w:r>
      <w:r>
        <w:rPr>
          <w:w w:val="110"/>
        </w:rPr>
        <w:t>al.</w:t>
      </w:r>
      <w:r>
        <w:rPr>
          <w:spacing w:val="-15"/>
          <w:w w:val="110"/>
        </w:rPr>
        <w:t xml:space="preserve"> </w:t>
      </w:r>
      <w:hyperlink w:anchor="_bookmark230" w:history="1">
        <w:r>
          <w:rPr>
            <w:color w:val="0000FF"/>
            <w:spacing w:val="-3"/>
            <w:w w:val="110"/>
          </w:rPr>
          <w:t>2018</w:t>
        </w:r>
      </w:hyperlink>
      <w:r>
        <w:rPr>
          <w:spacing w:val="-3"/>
          <w:w w:val="110"/>
        </w:rPr>
        <w:t>).</w:t>
      </w:r>
      <w:r>
        <w:rPr>
          <w:spacing w:val="-14"/>
          <w:w w:val="110"/>
        </w:rPr>
        <w:t xml:space="preserve"> </w:t>
      </w:r>
      <w:r>
        <w:rPr>
          <w:spacing w:val="-3"/>
          <w:w w:val="110"/>
        </w:rPr>
        <w:t>This</w:t>
      </w:r>
      <w:r>
        <w:rPr>
          <w:spacing w:val="-14"/>
          <w:w w:val="110"/>
        </w:rPr>
        <w:t xml:space="preserve"> </w:t>
      </w:r>
      <w:r>
        <w:rPr>
          <w:spacing w:val="-3"/>
          <w:w w:val="110"/>
        </w:rPr>
        <w:t>finding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provides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indirect</w:t>
      </w:r>
      <w:r>
        <w:rPr>
          <w:spacing w:val="-15"/>
          <w:w w:val="110"/>
        </w:rPr>
        <w:t xml:space="preserve"> </w:t>
      </w:r>
      <w:r>
        <w:rPr>
          <w:spacing w:val="-3"/>
          <w:w w:val="110"/>
        </w:rPr>
        <w:t>evidence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that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religiosity</w:t>
      </w:r>
    </w:p>
    <w:p w:rsidR="008443D8" w:rsidRDefault="00B73390">
      <w:pPr>
        <w:pStyle w:val="BodyText"/>
        <w:spacing w:line="199" w:lineRule="auto"/>
        <w:ind w:left="108" w:right="192"/>
        <w:jc w:val="both"/>
      </w:pPr>
      <w:r>
        <w:rPr>
          <w:rFonts w:ascii="Trebuchet MS" w:hAnsi="Trebuchet MS"/>
          <w:w w:val="110"/>
        </w:rPr>
        <w:t xml:space="preserve">– </w:t>
      </w:r>
      <w:proofErr w:type="gramStart"/>
      <w:r>
        <w:rPr>
          <w:spacing w:val="-3"/>
          <w:w w:val="110"/>
        </w:rPr>
        <w:t>possibly</w:t>
      </w:r>
      <w:proofErr w:type="gramEnd"/>
      <w:r>
        <w:rPr>
          <w:spacing w:val="-3"/>
          <w:w w:val="110"/>
        </w:rPr>
        <w:t xml:space="preserve"> including </w:t>
      </w:r>
      <w:r>
        <w:rPr>
          <w:w w:val="110"/>
        </w:rPr>
        <w:t xml:space="preserve">SA </w:t>
      </w:r>
      <w:r>
        <w:rPr>
          <w:rFonts w:ascii="Trebuchet MS" w:hAnsi="Trebuchet MS"/>
          <w:w w:val="110"/>
        </w:rPr>
        <w:t xml:space="preserve">– </w:t>
      </w:r>
      <w:r>
        <w:rPr>
          <w:w w:val="110"/>
        </w:rPr>
        <w:t xml:space="preserve">is a </w:t>
      </w:r>
      <w:r>
        <w:rPr>
          <w:spacing w:val="-4"/>
          <w:w w:val="110"/>
        </w:rPr>
        <w:t xml:space="preserve">potentially </w:t>
      </w:r>
      <w:r>
        <w:rPr>
          <w:rFonts w:ascii="Times New Roman" w:hAnsi="Times New Roman"/>
          <w:i/>
          <w:spacing w:val="-4"/>
          <w:w w:val="110"/>
        </w:rPr>
        <w:t>anti</w:t>
      </w:r>
      <w:r>
        <w:rPr>
          <w:spacing w:val="-4"/>
          <w:w w:val="110"/>
        </w:rPr>
        <w:t xml:space="preserve">-hostile inclination </w:t>
      </w:r>
      <w:r>
        <w:rPr>
          <w:spacing w:val="-3"/>
          <w:w w:val="110"/>
        </w:rPr>
        <w:t xml:space="preserve">and </w:t>
      </w:r>
      <w:r>
        <w:rPr>
          <w:spacing w:val="-5"/>
          <w:w w:val="110"/>
        </w:rPr>
        <w:t xml:space="preserve">corroborates </w:t>
      </w:r>
      <w:r>
        <w:rPr>
          <w:w w:val="110"/>
        </w:rPr>
        <w:t xml:space="preserve">the </w:t>
      </w:r>
      <w:r>
        <w:rPr>
          <w:spacing w:val="-3"/>
          <w:w w:val="110"/>
        </w:rPr>
        <w:t xml:space="preserve">finding </w:t>
      </w:r>
      <w:r>
        <w:rPr>
          <w:w w:val="110"/>
        </w:rPr>
        <w:t xml:space="preserve">in </w:t>
      </w:r>
      <w:hyperlink w:anchor="_bookmark9" w:history="1">
        <w:r>
          <w:rPr>
            <w:color w:val="0000FF"/>
            <w:spacing w:val="-4"/>
            <w:w w:val="110"/>
          </w:rPr>
          <w:t xml:space="preserve">Figure </w:t>
        </w:r>
        <w:r>
          <w:rPr>
            <w:color w:val="0000FF"/>
            <w:w w:val="110"/>
          </w:rPr>
          <w:t>1</w:t>
        </w:r>
      </w:hyperlink>
      <w:r>
        <w:rPr>
          <w:w w:val="110"/>
        </w:rPr>
        <w:t>.</w:t>
      </w:r>
    </w:p>
    <w:p w:rsidR="008443D8" w:rsidRDefault="00B73390">
      <w:pPr>
        <w:pStyle w:val="BodyText"/>
        <w:spacing w:line="199" w:lineRule="auto"/>
        <w:ind w:left="108" w:right="187" w:firstLine="239"/>
        <w:jc w:val="both"/>
      </w:pPr>
      <w:r>
        <w:rPr>
          <w:w w:val="105"/>
        </w:rPr>
        <w:t xml:space="preserve">To address this question more directly, </w:t>
      </w:r>
      <w:hyperlink w:anchor="_bookmark10" w:history="1">
        <w:r>
          <w:rPr>
            <w:color w:val="0000FF"/>
            <w:w w:val="105"/>
          </w:rPr>
          <w:t xml:space="preserve">Table 1 </w:t>
        </w:r>
      </w:hyperlink>
      <w:r>
        <w:rPr>
          <w:w w:val="105"/>
        </w:rPr>
        <w:t xml:space="preserve">outlines how the remaining variance in SA, independent of the four other </w:t>
      </w:r>
      <w:proofErr w:type="spellStart"/>
      <w:r>
        <w:rPr>
          <w:spacing w:val="-4"/>
          <w:w w:val="105"/>
        </w:rPr>
        <w:t>reli</w:t>
      </w:r>
      <w:proofErr w:type="spellEnd"/>
      <w:r>
        <w:rPr>
          <w:spacing w:val="-4"/>
          <w:w w:val="105"/>
        </w:rPr>
        <w:t xml:space="preserve">- </w:t>
      </w:r>
      <w:proofErr w:type="spellStart"/>
      <w:r>
        <w:rPr>
          <w:w w:val="105"/>
        </w:rPr>
        <w:t>gious</w:t>
      </w:r>
      <w:proofErr w:type="spellEnd"/>
      <w:r>
        <w:rPr>
          <w:w w:val="105"/>
        </w:rPr>
        <w:t xml:space="preserve"> index items, independently predicted PH in the </w:t>
      </w:r>
      <w:proofErr w:type="spellStart"/>
      <w:r>
        <w:rPr>
          <w:w w:val="105"/>
        </w:rPr>
        <w:t>Ginges</w:t>
      </w:r>
      <w:proofErr w:type="spellEnd"/>
      <w:r>
        <w:rPr>
          <w:w w:val="105"/>
        </w:rPr>
        <w:t xml:space="preserve"> sample. Supporting the hypothesis of SA as inherently </w:t>
      </w:r>
      <w:proofErr w:type="spellStart"/>
      <w:r>
        <w:rPr>
          <w:spacing w:val="-3"/>
          <w:w w:val="105"/>
        </w:rPr>
        <w:t>antihostile</w:t>
      </w:r>
      <w:proofErr w:type="spellEnd"/>
      <w:r>
        <w:rPr>
          <w:spacing w:val="-3"/>
          <w:w w:val="105"/>
        </w:rPr>
        <w:t xml:space="preserve">, </w:t>
      </w:r>
      <w:hyperlink w:anchor="_bookmark10" w:history="1">
        <w:r>
          <w:rPr>
            <w:color w:val="0000FF"/>
            <w:w w:val="105"/>
          </w:rPr>
          <w:t>Table</w:t>
        </w:r>
        <w:r>
          <w:rPr>
            <w:color w:val="0000FF"/>
            <w:spacing w:val="-15"/>
            <w:w w:val="105"/>
          </w:rPr>
          <w:t xml:space="preserve"> </w:t>
        </w:r>
        <w:r>
          <w:rPr>
            <w:color w:val="0000FF"/>
            <w:w w:val="105"/>
          </w:rPr>
          <w:t>1</w:t>
        </w:r>
        <w:r>
          <w:rPr>
            <w:color w:val="0000FF"/>
            <w:spacing w:val="-17"/>
            <w:w w:val="105"/>
          </w:rPr>
          <w:t xml:space="preserve"> </w:t>
        </w:r>
      </w:hyperlink>
      <w:r>
        <w:rPr>
          <w:w w:val="105"/>
        </w:rPr>
        <w:t>shows</w:t>
      </w:r>
      <w:r>
        <w:rPr>
          <w:spacing w:val="-16"/>
          <w:w w:val="105"/>
        </w:rPr>
        <w:t xml:space="preserve"> </w:t>
      </w:r>
      <w:r>
        <w:rPr>
          <w:w w:val="105"/>
        </w:rPr>
        <w:t>SA</w:t>
      </w:r>
      <w:r>
        <w:rPr>
          <w:spacing w:val="-22"/>
          <w:w w:val="105"/>
        </w:rPr>
        <w:t xml:space="preserve"> </w:t>
      </w:r>
      <w:r>
        <w:rPr>
          <w:w w:val="105"/>
        </w:rPr>
        <w:t>was</w:t>
      </w:r>
      <w:r>
        <w:rPr>
          <w:spacing w:val="-16"/>
          <w:w w:val="105"/>
        </w:rPr>
        <w:t xml:space="preserve"> </w:t>
      </w:r>
      <w:r>
        <w:rPr>
          <w:rFonts w:ascii="Times New Roman"/>
          <w:i/>
          <w:w w:val="105"/>
        </w:rPr>
        <w:t>negatively</w:t>
      </w:r>
      <w:r>
        <w:rPr>
          <w:rFonts w:ascii="Times New Roman"/>
          <w:i/>
          <w:spacing w:val="-13"/>
          <w:w w:val="105"/>
        </w:rPr>
        <w:t xml:space="preserve"> </w:t>
      </w:r>
      <w:r>
        <w:rPr>
          <w:w w:val="105"/>
        </w:rPr>
        <w:t>related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PH</w:t>
      </w:r>
      <w:r>
        <w:rPr>
          <w:spacing w:val="-16"/>
          <w:w w:val="105"/>
        </w:rPr>
        <w:t xml:space="preserve"> </w:t>
      </w:r>
      <w:r>
        <w:rPr>
          <w:w w:val="105"/>
        </w:rPr>
        <w:t>even</w:t>
      </w:r>
      <w:r>
        <w:rPr>
          <w:spacing w:val="-16"/>
          <w:w w:val="105"/>
        </w:rPr>
        <w:t xml:space="preserve"> </w:t>
      </w:r>
      <w:r>
        <w:rPr>
          <w:w w:val="105"/>
        </w:rPr>
        <w:t>when</w:t>
      </w:r>
      <w:r>
        <w:rPr>
          <w:spacing w:val="-15"/>
          <w:w w:val="105"/>
        </w:rPr>
        <w:t xml:space="preserve"> </w:t>
      </w:r>
      <w:r>
        <w:rPr>
          <w:w w:val="105"/>
        </w:rPr>
        <w:t>control- ling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four</w:t>
      </w:r>
      <w:r>
        <w:rPr>
          <w:spacing w:val="-10"/>
          <w:w w:val="105"/>
        </w:rPr>
        <w:t xml:space="preserve"> </w:t>
      </w:r>
      <w:r>
        <w:rPr>
          <w:w w:val="105"/>
        </w:rPr>
        <w:t>indices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religiosity,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themselves</w:t>
      </w:r>
      <w:r>
        <w:rPr>
          <w:spacing w:val="-10"/>
          <w:w w:val="105"/>
        </w:rPr>
        <w:t xml:space="preserve"> </w:t>
      </w:r>
      <w:r>
        <w:rPr>
          <w:w w:val="105"/>
        </w:rPr>
        <w:t>were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</w:p>
    <w:p w:rsidR="008443D8" w:rsidRDefault="008443D8">
      <w:pPr>
        <w:spacing w:line="199" w:lineRule="auto"/>
        <w:jc w:val="both"/>
        <w:sectPr w:rsidR="008443D8">
          <w:headerReference w:type="even" r:id="rId8"/>
          <w:headerReference w:type="default" r:id="rId9"/>
          <w:pgSz w:w="11880" w:h="15840"/>
          <w:pgMar w:top="900" w:right="660" w:bottom="280" w:left="660" w:header="699" w:footer="0" w:gutter="0"/>
          <w:cols w:num="2" w:equalWidth="0">
            <w:col w:w="5138" w:space="135"/>
            <w:col w:w="5287"/>
          </w:cols>
        </w:sectPr>
      </w:pPr>
    </w:p>
    <w:p w:rsidR="008443D8" w:rsidRDefault="008443D8">
      <w:pPr>
        <w:pStyle w:val="BodyText"/>
        <w:spacing w:before="13"/>
        <w:rPr>
          <w:sz w:val="21"/>
        </w:rPr>
      </w:pPr>
    </w:p>
    <w:p w:rsidR="008443D8" w:rsidRDefault="00B73390">
      <w:pPr>
        <w:spacing w:before="94"/>
        <w:ind w:left="190" w:right="101"/>
        <w:rPr>
          <w:rFonts w:ascii="Arial" w:hAnsi="Arial"/>
          <w:sz w:val="15"/>
        </w:rPr>
      </w:pPr>
      <w:bookmarkStart w:id="2" w:name="Does_identity_fusion_give_rise_to_the_gr"/>
      <w:bookmarkStart w:id="3" w:name="_bookmark10"/>
      <w:bookmarkEnd w:id="2"/>
      <w:bookmarkEnd w:id="3"/>
      <w:r>
        <w:rPr>
          <w:rFonts w:ascii="Calibri" w:hAnsi="Calibri"/>
          <w:sz w:val="15"/>
        </w:rPr>
        <w:t>Table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Calibri" w:hAnsi="Calibri"/>
          <w:sz w:val="15"/>
        </w:rPr>
        <w:t>1.</w:t>
      </w:r>
      <w:r>
        <w:rPr>
          <w:rFonts w:ascii="Calibri" w:hAnsi="Calibri"/>
          <w:spacing w:val="-3"/>
          <w:sz w:val="15"/>
        </w:rPr>
        <w:t xml:space="preserve"> </w:t>
      </w:r>
      <w:r>
        <w:rPr>
          <w:rFonts w:ascii="Arial" w:hAnsi="Arial"/>
          <w:sz w:val="15"/>
        </w:rPr>
        <w:t>(Hansen)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Odds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of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z w:val="15"/>
        </w:rPr>
        <w:t>blaming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z w:val="15"/>
        </w:rPr>
        <w:t>people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of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z w:val="15"/>
        </w:rPr>
        <w:t>other</w:t>
      </w:r>
      <w:r>
        <w:rPr>
          <w:rFonts w:ascii="Arial" w:hAnsi="Arial"/>
          <w:spacing w:val="-9"/>
          <w:sz w:val="15"/>
        </w:rPr>
        <w:t xml:space="preserve"> </w:t>
      </w:r>
      <w:r>
        <w:rPr>
          <w:rFonts w:ascii="Arial" w:hAnsi="Arial"/>
          <w:sz w:val="15"/>
        </w:rPr>
        <w:t>religions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for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the</w:t>
      </w:r>
      <w:r>
        <w:rPr>
          <w:rFonts w:ascii="Arial" w:hAnsi="Arial"/>
          <w:spacing w:val="-13"/>
          <w:sz w:val="15"/>
        </w:rPr>
        <w:t xml:space="preserve"> </w:t>
      </w:r>
      <w:r>
        <w:rPr>
          <w:rFonts w:ascii="Arial" w:hAnsi="Arial"/>
          <w:sz w:val="15"/>
        </w:rPr>
        <w:t>world</w:t>
      </w:r>
      <w:r>
        <w:rPr>
          <w:rFonts w:ascii="Calibri" w:hAnsi="Calibri"/>
          <w:sz w:val="15"/>
        </w:rPr>
        <w:t>’</w:t>
      </w:r>
      <w:r>
        <w:rPr>
          <w:rFonts w:ascii="Arial" w:hAnsi="Arial"/>
          <w:sz w:val="15"/>
        </w:rPr>
        <w:t>s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problems</w:t>
      </w:r>
      <w:r>
        <w:rPr>
          <w:rFonts w:ascii="Arial" w:hAnsi="Arial"/>
          <w:spacing w:val="-11"/>
          <w:sz w:val="15"/>
        </w:rPr>
        <w:t xml:space="preserve"> </w:t>
      </w:r>
      <w:proofErr w:type="gramStart"/>
      <w:r>
        <w:rPr>
          <w:rFonts w:ascii="Arial" w:hAnsi="Arial"/>
          <w:sz w:val="15"/>
        </w:rPr>
        <w:t>(</w:t>
      </w:r>
      <w:r>
        <w:rPr>
          <w:rFonts w:ascii="Arial" w:hAnsi="Arial"/>
          <w:spacing w:val="-32"/>
          <w:sz w:val="15"/>
        </w:rPr>
        <w:t xml:space="preserve"> </w:t>
      </w:r>
      <w:r>
        <w:rPr>
          <w:rFonts w:ascii="Arial" w:hAnsi="Arial"/>
          <w:sz w:val="15"/>
        </w:rPr>
        <w:t>parochial</w:t>
      </w:r>
      <w:proofErr w:type="gramEnd"/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hostility)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as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predicted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by</w:t>
      </w:r>
      <w:r>
        <w:rPr>
          <w:rFonts w:ascii="Arial" w:hAnsi="Arial"/>
          <w:spacing w:val="-13"/>
          <w:sz w:val="15"/>
        </w:rPr>
        <w:t xml:space="preserve"> </w:t>
      </w:r>
      <w:r>
        <w:rPr>
          <w:rFonts w:ascii="Arial" w:hAnsi="Arial"/>
          <w:sz w:val="15"/>
        </w:rPr>
        <w:t>sacrificial</w:t>
      </w:r>
      <w:r>
        <w:rPr>
          <w:rFonts w:ascii="Arial" w:hAnsi="Arial"/>
          <w:spacing w:val="-11"/>
          <w:sz w:val="15"/>
        </w:rPr>
        <w:t xml:space="preserve"> </w:t>
      </w:r>
      <w:r>
        <w:rPr>
          <w:rFonts w:ascii="Arial" w:hAnsi="Arial"/>
          <w:sz w:val="15"/>
        </w:rPr>
        <w:t>altruism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and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other</w:t>
      </w:r>
      <w:r>
        <w:rPr>
          <w:rFonts w:ascii="Arial" w:hAnsi="Arial"/>
          <w:spacing w:val="-10"/>
          <w:sz w:val="15"/>
        </w:rPr>
        <w:t xml:space="preserve"> </w:t>
      </w:r>
      <w:r>
        <w:rPr>
          <w:rFonts w:ascii="Arial" w:hAnsi="Arial"/>
          <w:sz w:val="15"/>
        </w:rPr>
        <w:t>religiosity measures</w:t>
      </w:r>
    </w:p>
    <w:p w:rsidR="008443D8" w:rsidRDefault="008443D8">
      <w:pPr>
        <w:pStyle w:val="BodyText"/>
        <w:spacing w:before="7"/>
        <w:rPr>
          <w:rFonts w:ascii="Arial"/>
          <w:sz w:val="7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48"/>
        <w:gridCol w:w="1357"/>
        <w:gridCol w:w="1494"/>
        <w:gridCol w:w="1412"/>
        <w:gridCol w:w="1133"/>
        <w:gridCol w:w="2220"/>
      </w:tblGrid>
      <w:tr w:rsidR="008443D8">
        <w:trPr>
          <w:trHeight w:val="695"/>
        </w:trPr>
        <w:tc>
          <w:tcPr>
            <w:tcW w:w="2648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ADFDC"/>
          </w:tcPr>
          <w:p w:rsidR="008443D8" w:rsidRDefault="008443D8">
            <w:pPr>
              <w:pStyle w:val="TableParagraph"/>
              <w:spacing w:before="0"/>
              <w:rPr>
                <w:sz w:val="16"/>
              </w:rPr>
            </w:pPr>
          </w:p>
          <w:p w:rsidR="008443D8" w:rsidRDefault="008443D8">
            <w:pPr>
              <w:pStyle w:val="TableParagraph"/>
              <w:spacing w:before="10"/>
              <w:rPr>
                <w:sz w:val="21"/>
              </w:rPr>
            </w:pPr>
          </w:p>
          <w:p w:rsidR="008443D8" w:rsidRDefault="00B73390">
            <w:pPr>
              <w:pStyle w:val="TableParagraph"/>
              <w:spacing w:before="1"/>
              <w:ind w:left="141"/>
              <w:rPr>
                <w:sz w:val="15"/>
              </w:rPr>
            </w:pPr>
            <w:r>
              <w:rPr>
                <w:sz w:val="15"/>
              </w:rPr>
              <w:t>Predictor</w:t>
            </w:r>
          </w:p>
        </w:tc>
        <w:tc>
          <w:tcPr>
            <w:tcW w:w="1357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ADFDC"/>
          </w:tcPr>
          <w:p w:rsidR="008443D8" w:rsidRDefault="008443D8">
            <w:pPr>
              <w:pStyle w:val="TableParagraph"/>
              <w:spacing w:before="0"/>
              <w:rPr>
                <w:sz w:val="16"/>
              </w:rPr>
            </w:pPr>
          </w:p>
          <w:p w:rsidR="008443D8" w:rsidRDefault="008443D8">
            <w:pPr>
              <w:pStyle w:val="TableParagraph"/>
              <w:spacing w:before="10"/>
              <w:rPr>
                <w:sz w:val="21"/>
              </w:rPr>
            </w:pPr>
          </w:p>
          <w:p w:rsidR="008443D8" w:rsidRDefault="00B73390">
            <w:pPr>
              <w:pStyle w:val="TableParagraph"/>
              <w:spacing w:before="1"/>
              <w:ind w:left="351"/>
              <w:rPr>
                <w:sz w:val="15"/>
              </w:rPr>
            </w:pPr>
            <w:r>
              <w:rPr>
                <w:sz w:val="15"/>
              </w:rPr>
              <w:t>Model</w:t>
            </w:r>
          </w:p>
        </w:tc>
        <w:tc>
          <w:tcPr>
            <w:tcW w:w="1494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ADFDC"/>
          </w:tcPr>
          <w:p w:rsidR="008443D8" w:rsidRDefault="008443D8">
            <w:pPr>
              <w:pStyle w:val="TableParagraph"/>
              <w:spacing w:before="0"/>
              <w:rPr>
                <w:sz w:val="16"/>
              </w:rPr>
            </w:pPr>
          </w:p>
          <w:p w:rsidR="008443D8" w:rsidRDefault="008443D8">
            <w:pPr>
              <w:pStyle w:val="TableParagraph"/>
              <w:spacing w:before="10"/>
              <w:rPr>
                <w:sz w:val="21"/>
              </w:rPr>
            </w:pPr>
          </w:p>
          <w:p w:rsidR="008443D8" w:rsidRDefault="00B73390">
            <w:pPr>
              <w:pStyle w:val="TableParagraph"/>
              <w:spacing w:before="1"/>
              <w:ind w:left="381" w:right="381"/>
              <w:jc w:val="center"/>
              <w:rPr>
                <w:sz w:val="15"/>
              </w:rPr>
            </w:pPr>
            <w:r>
              <w:rPr>
                <w:sz w:val="15"/>
              </w:rPr>
              <w:t>Odds ratio</w:t>
            </w:r>
          </w:p>
        </w:tc>
        <w:tc>
          <w:tcPr>
            <w:tcW w:w="1412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ADFDC"/>
          </w:tcPr>
          <w:p w:rsidR="008443D8" w:rsidRDefault="008443D8">
            <w:pPr>
              <w:pStyle w:val="TableParagraph"/>
              <w:spacing w:before="0"/>
              <w:rPr>
                <w:sz w:val="16"/>
              </w:rPr>
            </w:pPr>
          </w:p>
          <w:p w:rsidR="008443D8" w:rsidRDefault="008443D8">
            <w:pPr>
              <w:pStyle w:val="TableParagraph"/>
              <w:spacing w:before="10"/>
              <w:rPr>
                <w:sz w:val="21"/>
              </w:rPr>
            </w:pPr>
          </w:p>
          <w:p w:rsidR="008443D8" w:rsidRDefault="00B73390">
            <w:pPr>
              <w:pStyle w:val="TableParagraph"/>
              <w:spacing w:before="1"/>
              <w:ind w:left="483"/>
              <w:rPr>
                <w:sz w:val="15"/>
              </w:rPr>
            </w:pPr>
            <w:r>
              <w:rPr>
                <w:w w:val="95"/>
                <w:sz w:val="15"/>
              </w:rPr>
              <w:t>95% CI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ADFDC"/>
          </w:tcPr>
          <w:p w:rsidR="008443D8" w:rsidRDefault="008443D8">
            <w:pPr>
              <w:pStyle w:val="TableParagraph"/>
              <w:spacing w:before="0"/>
              <w:rPr>
                <w:sz w:val="16"/>
              </w:rPr>
            </w:pPr>
          </w:p>
          <w:p w:rsidR="008443D8" w:rsidRDefault="008443D8">
            <w:pPr>
              <w:pStyle w:val="TableParagraph"/>
              <w:spacing w:before="10"/>
              <w:rPr>
                <w:sz w:val="21"/>
              </w:rPr>
            </w:pPr>
          </w:p>
          <w:p w:rsidR="008443D8" w:rsidRDefault="00B73390">
            <w:pPr>
              <w:pStyle w:val="TableParagraph"/>
              <w:spacing w:before="1"/>
              <w:ind w:left="516"/>
              <w:rPr>
                <w:sz w:val="15"/>
              </w:rPr>
            </w:pPr>
            <w:r>
              <w:rPr>
                <w:sz w:val="15"/>
              </w:rPr>
              <w:t>Wald</w:t>
            </w:r>
          </w:p>
        </w:tc>
        <w:tc>
          <w:tcPr>
            <w:tcW w:w="222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ADFDC"/>
          </w:tcPr>
          <w:p w:rsidR="008443D8" w:rsidRDefault="00B73390">
            <w:pPr>
              <w:pStyle w:val="TableParagraph"/>
              <w:spacing w:before="77" w:line="249" w:lineRule="auto"/>
              <w:ind w:left="170" w:right="112"/>
              <w:jc w:val="center"/>
              <w:rPr>
                <w:sz w:val="15"/>
              </w:rPr>
            </w:pPr>
            <w:r>
              <w:rPr>
                <w:sz w:val="15"/>
              </w:rPr>
              <w:t>Odds of supporting parochial hostility, given affirmative response to predictor</w:t>
            </w:r>
          </w:p>
        </w:tc>
      </w:tr>
      <w:tr w:rsidR="005B0C4E">
        <w:trPr>
          <w:trHeight w:val="327"/>
        </w:trPr>
        <w:tc>
          <w:tcPr>
            <w:tcW w:w="2648" w:type="dxa"/>
            <w:vMerge w:val="restart"/>
            <w:tcBorders>
              <w:top w:val="single" w:sz="4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106"/>
              <w:ind w:left="141"/>
              <w:rPr>
                <w:sz w:val="15"/>
              </w:rPr>
            </w:pPr>
            <w:r>
              <w:rPr>
                <w:sz w:val="15"/>
              </w:rPr>
              <w:t>Sacrificial altruism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106"/>
              <w:ind w:left="141"/>
              <w:rPr>
                <w:sz w:val="15"/>
              </w:rPr>
            </w:pPr>
            <w:r>
              <w:rPr>
                <w:sz w:val="15"/>
              </w:rPr>
              <w:t>Zero order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106"/>
              <w:ind w:left="381" w:right="381"/>
              <w:jc w:val="center"/>
              <w:rPr>
                <w:sz w:val="15"/>
              </w:rPr>
            </w:pPr>
            <w:r>
              <w:rPr>
                <w:sz w:val="15"/>
              </w:rPr>
              <w:t>0.67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104"/>
              <w:ind w:left="412"/>
              <w:rPr>
                <w:sz w:val="15"/>
              </w:rPr>
            </w:pPr>
            <w:r>
              <w:rPr>
                <w:sz w:val="15"/>
              </w:rPr>
              <w:t>0.58</w:t>
            </w:r>
            <w:r>
              <w:rPr>
                <w:rFonts w:ascii="Calibri" w:hAnsi="Calibri"/>
                <w:sz w:val="15"/>
              </w:rPr>
              <w:t>–</w:t>
            </w:r>
            <w:r>
              <w:rPr>
                <w:sz w:val="15"/>
              </w:rPr>
              <w:t>0.77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106"/>
              <w:ind w:left="412"/>
              <w:rPr>
                <w:sz w:val="15"/>
              </w:rPr>
            </w:pPr>
            <w:r>
              <w:rPr>
                <w:sz w:val="15"/>
              </w:rPr>
              <w:t>33.35***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 w:rsidP="005B0C4E">
            <w:pPr>
              <w:pStyle w:val="TableParagraph"/>
              <w:spacing w:before="106"/>
              <w:ind w:right="35"/>
              <w:jc w:val="center"/>
              <w:rPr>
                <w:sz w:val="15"/>
              </w:rPr>
            </w:pPr>
            <w:r>
              <w:rPr>
                <w:w w:val="85"/>
                <w:sz w:val="15"/>
              </w:rPr>
              <w:t>1.50:1</w:t>
            </w:r>
            <w:r>
              <w:rPr>
                <w:sz w:val="15"/>
              </w:rPr>
              <w:t xml:space="preserve"> against</w:t>
            </w:r>
          </w:p>
        </w:tc>
      </w:tr>
      <w:tr w:rsidR="005B0C4E">
        <w:trPr>
          <w:trHeight w:val="289"/>
        </w:trPr>
        <w:tc>
          <w:tcPr>
            <w:tcW w:w="2648" w:type="dxa"/>
            <w:vMerge/>
            <w:tcBorders>
              <w:top w:val="nil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141"/>
              <w:rPr>
                <w:sz w:val="15"/>
              </w:rPr>
            </w:pPr>
            <w:r>
              <w:rPr>
                <w:sz w:val="15"/>
              </w:rPr>
              <w:t>Independent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381" w:right="381"/>
              <w:jc w:val="center"/>
              <w:rPr>
                <w:sz w:val="15"/>
              </w:rPr>
            </w:pPr>
            <w:r>
              <w:rPr>
                <w:sz w:val="15"/>
              </w:rPr>
              <w:t>0.82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6"/>
              <w:ind w:left="412"/>
              <w:rPr>
                <w:sz w:val="15"/>
              </w:rPr>
            </w:pPr>
            <w:r>
              <w:rPr>
                <w:sz w:val="15"/>
              </w:rPr>
              <w:t>0.69</w:t>
            </w:r>
            <w:r>
              <w:rPr>
                <w:rFonts w:ascii="Calibri" w:hAnsi="Calibri"/>
                <w:sz w:val="15"/>
              </w:rPr>
              <w:t>–</w:t>
            </w:r>
            <w:r>
              <w:rPr>
                <w:sz w:val="15"/>
              </w:rPr>
              <w:t>0.96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486"/>
              <w:rPr>
                <w:sz w:val="15"/>
              </w:rPr>
            </w:pPr>
            <w:r>
              <w:rPr>
                <w:sz w:val="15"/>
              </w:rPr>
              <w:t>6.10*</w:t>
            </w:r>
          </w:p>
        </w:tc>
        <w:tc>
          <w:tcPr>
            <w:tcW w:w="2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 w:rsidP="005B0C4E">
            <w:pPr>
              <w:pStyle w:val="TableParagraph"/>
              <w:ind w:right="35"/>
              <w:jc w:val="center"/>
              <w:rPr>
                <w:sz w:val="15"/>
              </w:rPr>
            </w:pPr>
            <w:r>
              <w:rPr>
                <w:w w:val="85"/>
                <w:sz w:val="15"/>
              </w:rPr>
              <w:t>1.23:1</w:t>
            </w:r>
            <w:r>
              <w:rPr>
                <w:sz w:val="15"/>
              </w:rPr>
              <w:t xml:space="preserve"> against</w:t>
            </w:r>
          </w:p>
        </w:tc>
      </w:tr>
      <w:tr w:rsidR="005B0C4E">
        <w:trPr>
          <w:trHeight w:val="287"/>
        </w:trPr>
        <w:tc>
          <w:tcPr>
            <w:tcW w:w="2648" w:type="dxa"/>
            <w:vMerge w:val="restart"/>
            <w:tcBorders>
              <w:top w:val="single" w:sz="2" w:space="0" w:color="000000"/>
              <w:bottom w:val="single" w:sz="4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141"/>
              <w:rPr>
                <w:sz w:val="15"/>
              </w:rPr>
            </w:pPr>
            <w:r>
              <w:rPr>
                <w:sz w:val="15"/>
              </w:rPr>
              <w:t>Belief in God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141"/>
              <w:rPr>
                <w:sz w:val="15"/>
              </w:rPr>
            </w:pPr>
            <w:r>
              <w:rPr>
                <w:sz w:val="15"/>
              </w:rPr>
              <w:t>Zero order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381" w:right="381"/>
              <w:jc w:val="center"/>
              <w:rPr>
                <w:sz w:val="15"/>
              </w:rPr>
            </w:pPr>
            <w:r>
              <w:rPr>
                <w:sz w:val="15"/>
              </w:rPr>
              <w:t>0.54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6"/>
              <w:ind w:left="412"/>
              <w:rPr>
                <w:sz w:val="15"/>
              </w:rPr>
            </w:pPr>
            <w:r>
              <w:rPr>
                <w:sz w:val="15"/>
              </w:rPr>
              <w:t>0.45</w:t>
            </w:r>
            <w:r>
              <w:rPr>
                <w:rFonts w:ascii="Calibri" w:hAnsi="Calibri"/>
                <w:sz w:val="15"/>
              </w:rPr>
              <w:t>–</w:t>
            </w:r>
            <w:r>
              <w:rPr>
                <w:sz w:val="15"/>
              </w:rPr>
              <w:t>0.64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412"/>
              <w:rPr>
                <w:sz w:val="15"/>
              </w:rPr>
            </w:pPr>
            <w:r>
              <w:rPr>
                <w:sz w:val="15"/>
              </w:rPr>
              <w:t>47.07***</w:t>
            </w:r>
          </w:p>
        </w:tc>
        <w:tc>
          <w:tcPr>
            <w:tcW w:w="2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 w:rsidP="005B0C4E">
            <w:pPr>
              <w:pStyle w:val="TableParagraph"/>
              <w:ind w:right="35"/>
              <w:jc w:val="center"/>
              <w:rPr>
                <w:sz w:val="15"/>
              </w:rPr>
            </w:pPr>
            <w:r>
              <w:rPr>
                <w:w w:val="85"/>
                <w:sz w:val="15"/>
              </w:rPr>
              <w:t>1.87:1</w:t>
            </w:r>
            <w:r>
              <w:rPr>
                <w:sz w:val="15"/>
              </w:rPr>
              <w:t xml:space="preserve"> against</w:t>
            </w:r>
          </w:p>
        </w:tc>
      </w:tr>
      <w:tr w:rsidR="005B0C4E">
        <w:trPr>
          <w:trHeight w:val="285"/>
        </w:trPr>
        <w:tc>
          <w:tcPr>
            <w:tcW w:w="2648" w:type="dxa"/>
            <w:vMerge/>
            <w:tcBorders>
              <w:top w:val="nil"/>
              <w:bottom w:val="single" w:sz="4" w:space="0" w:color="000000"/>
            </w:tcBorders>
            <w:shd w:val="clear" w:color="auto" w:fill="FCF0EF"/>
          </w:tcPr>
          <w:p w:rsidR="005B0C4E" w:rsidRDefault="005B0C4E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7"/>
              <w:ind w:left="141"/>
              <w:rPr>
                <w:sz w:val="15"/>
              </w:rPr>
            </w:pPr>
            <w:r>
              <w:rPr>
                <w:sz w:val="15"/>
              </w:rPr>
              <w:t>Independent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7"/>
              <w:ind w:left="381" w:right="381"/>
              <w:jc w:val="center"/>
              <w:rPr>
                <w:sz w:val="15"/>
              </w:rPr>
            </w:pPr>
            <w:r>
              <w:rPr>
                <w:sz w:val="15"/>
              </w:rPr>
              <w:t>0.72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5"/>
              <w:ind w:left="412"/>
              <w:rPr>
                <w:sz w:val="15"/>
              </w:rPr>
            </w:pPr>
            <w:r>
              <w:rPr>
                <w:sz w:val="15"/>
              </w:rPr>
              <w:t>0.59</w:t>
            </w:r>
            <w:r>
              <w:rPr>
                <w:rFonts w:ascii="Calibri" w:hAnsi="Calibri"/>
                <w:sz w:val="15"/>
              </w:rPr>
              <w:t>–</w:t>
            </w:r>
            <w:r>
              <w:rPr>
                <w:sz w:val="15"/>
              </w:rPr>
              <w:t>0.88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7"/>
              <w:ind w:left="412"/>
              <w:rPr>
                <w:sz w:val="15"/>
              </w:rPr>
            </w:pPr>
            <w:r>
              <w:rPr>
                <w:sz w:val="15"/>
              </w:rPr>
              <w:t>10.16**</w:t>
            </w:r>
          </w:p>
        </w:tc>
        <w:tc>
          <w:tcPr>
            <w:tcW w:w="2220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CF0EF"/>
          </w:tcPr>
          <w:p w:rsidR="005B0C4E" w:rsidRPr="005B0C4E" w:rsidRDefault="005B0C4E" w:rsidP="005B0C4E">
            <w:pPr>
              <w:pStyle w:val="TableParagraph"/>
              <w:spacing w:before="67"/>
              <w:ind w:right="35"/>
              <w:jc w:val="center"/>
              <w:rPr>
                <w:sz w:val="15"/>
              </w:rPr>
            </w:pPr>
            <w:r w:rsidRPr="005B0C4E">
              <w:rPr>
                <w:w w:val="85"/>
                <w:sz w:val="15"/>
              </w:rPr>
              <w:t>1.39:1</w:t>
            </w:r>
            <w:r>
              <w:rPr>
                <w:sz w:val="15"/>
              </w:rPr>
              <w:t xml:space="preserve"> </w:t>
            </w:r>
            <w:r w:rsidRPr="005B0C4E">
              <w:rPr>
                <w:sz w:val="15"/>
              </w:rPr>
              <w:t>against</w:t>
            </w:r>
          </w:p>
        </w:tc>
      </w:tr>
      <w:tr w:rsidR="005B0C4E">
        <w:trPr>
          <w:trHeight w:val="284"/>
        </w:trPr>
        <w:tc>
          <w:tcPr>
            <w:tcW w:w="2648" w:type="dxa"/>
            <w:vMerge w:val="restart"/>
            <w:tcBorders>
              <w:top w:val="single" w:sz="4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7"/>
              <w:ind w:left="141"/>
              <w:rPr>
                <w:sz w:val="15"/>
              </w:rPr>
            </w:pPr>
            <w:r>
              <w:rPr>
                <w:sz w:val="15"/>
              </w:rPr>
              <w:t>Regular prayer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7"/>
              <w:ind w:left="141"/>
              <w:rPr>
                <w:sz w:val="15"/>
              </w:rPr>
            </w:pPr>
            <w:r>
              <w:rPr>
                <w:sz w:val="15"/>
              </w:rPr>
              <w:t>Zero order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7"/>
              <w:ind w:left="381" w:right="381"/>
              <w:jc w:val="center"/>
              <w:rPr>
                <w:sz w:val="15"/>
              </w:rPr>
            </w:pPr>
            <w:r>
              <w:rPr>
                <w:sz w:val="15"/>
              </w:rPr>
              <w:t>0.53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4"/>
              <w:ind w:left="412"/>
              <w:rPr>
                <w:sz w:val="15"/>
              </w:rPr>
            </w:pPr>
            <w:r>
              <w:rPr>
                <w:sz w:val="15"/>
              </w:rPr>
              <w:t>0.46</w:t>
            </w:r>
            <w:r>
              <w:rPr>
                <w:rFonts w:ascii="Calibri" w:hAnsi="Calibri"/>
                <w:sz w:val="15"/>
              </w:rPr>
              <w:t>–</w:t>
            </w:r>
            <w:r>
              <w:rPr>
                <w:sz w:val="15"/>
              </w:rPr>
              <w:t>0.61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7"/>
              <w:ind w:left="412"/>
              <w:rPr>
                <w:sz w:val="15"/>
              </w:rPr>
            </w:pPr>
            <w:r>
              <w:rPr>
                <w:sz w:val="15"/>
              </w:rPr>
              <w:t>83.82***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CF0EF"/>
          </w:tcPr>
          <w:p w:rsidR="005B0C4E" w:rsidRDefault="005B0C4E" w:rsidP="005B0C4E">
            <w:pPr>
              <w:pStyle w:val="TableParagraph"/>
              <w:spacing w:before="67"/>
              <w:ind w:right="35"/>
              <w:jc w:val="center"/>
              <w:rPr>
                <w:sz w:val="15"/>
              </w:rPr>
            </w:pPr>
            <w:r>
              <w:rPr>
                <w:w w:val="85"/>
                <w:sz w:val="15"/>
              </w:rPr>
              <w:t>1.89:1</w:t>
            </w:r>
            <w:r>
              <w:rPr>
                <w:sz w:val="15"/>
              </w:rPr>
              <w:t xml:space="preserve"> against</w:t>
            </w:r>
          </w:p>
        </w:tc>
      </w:tr>
      <w:tr w:rsidR="005B0C4E">
        <w:trPr>
          <w:trHeight w:val="287"/>
        </w:trPr>
        <w:tc>
          <w:tcPr>
            <w:tcW w:w="2648" w:type="dxa"/>
            <w:vMerge/>
            <w:tcBorders>
              <w:top w:val="nil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7"/>
              <w:ind w:left="141"/>
              <w:rPr>
                <w:sz w:val="15"/>
              </w:rPr>
            </w:pPr>
            <w:r>
              <w:rPr>
                <w:sz w:val="15"/>
              </w:rPr>
              <w:t>Independent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7"/>
              <w:ind w:left="381" w:right="381"/>
              <w:jc w:val="center"/>
              <w:rPr>
                <w:sz w:val="15"/>
              </w:rPr>
            </w:pPr>
            <w:r>
              <w:rPr>
                <w:sz w:val="15"/>
              </w:rPr>
              <w:t>0.54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4"/>
              <w:ind w:left="412"/>
              <w:rPr>
                <w:sz w:val="15"/>
              </w:rPr>
            </w:pPr>
            <w:r>
              <w:rPr>
                <w:sz w:val="15"/>
              </w:rPr>
              <w:t>0.45</w:t>
            </w:r>
            <w:r>
              <w:rPr>
                <w:rFonts w:ascii="Calibri" w:hAnsi="Calibri"/>
                <w:sz w:val="15"/>
              </w:rPr>
              <w:t>–</w:t>
            </w:r>
            <w:r>
              <w:rPr>
                <w:sz w:val="15"/>
              </w:rPr>
              <w:t>0.64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7"/>
              <w:ind w:left="412"/>
              <w:rPr>
                <w:sz w:val="15"/>
              </w:rPr>
            </w:pPr>
            <w:r>
              <w:rPr>
                <w:sz w:val="15"/>
              </w:rPr>
              <w:t>49.76***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 w:rsidP="005B0C4E">
            <w:pPr>
              <w:pStyle w:val="TableParagraph"/>
              <w:spacing w:before="67"/>
              <w:ind w:right="35"/>
              <w:jc w:val="center"/>
              <w:rPr>
                <w:sz w:val="15"/>
              </w:rPr>
            </w:pPr>
            <w:r>
              <w:rPr>
                <w:w w:val="85"/>
                <w:sz w:val="15"/>
              </w:rPr>
              <w:t>1.86:1</w:t>
            </w:r>
            <w:r>
              <w:rPr>
                <w:sz w:val="15"/>
              </w:rPr>
              <w:t xml:space="preserve"> against</w:t>
            </w:r>
          </w:p>
        </w:tc>
      </w:tr>
      <w:tr w:rsidR="005B0C4E">
        <w:trPr>
          <w:trHeight w:val="289"/>
        </w:trPr>
        <w:tc>
          <w:tcPr>
            <w:tcW w:w="2648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141"/>
              <w:rPr>
                <w:sz w:val="15"/>
              </w:rPr>
            </w:pPr>
            <w:r>
              <w:rPr>
                <w:sz w:val="15"/>
              </w:rPr>
              <w:t>Afterlife belief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141"/>
              <w:rPr>
                <w:sz w:val="15"/>
              </w:rPr>
            </w:pPr>
            <w:r>
              <w:rPr>
                <w:sz w:val="15"/>
              </w:rPr>
              <w:t>Zero order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381" w:right="381"/>
              <w:jc w:val="center"/>
              <w:rPr>
                <w:sz w:val="15"/>
              </w:rPr>
            </w:pPr>
            <w:r>
              <w:rPr>
                <w:sz w:val="15"/>
              </w:rPr>
              <w:t>0.91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6"/>
              <w:ind w:left="412"/>
              <w:rPr>
                <w:sz w:val="15"/>
              </w:rPr>
            </w:pPr>
            <w:r>
              <w:rPr>
                <w:sz w:val="15"/>
              </w:rPr>
              <w:t>0.79</w:t>
            </w:r>
            <w:r>
              <w:rPr>
                <w:rFonts w:ascii="Calibri" w:hAnsi="Calibri"/>
                <w:sz w:val="15"/>
              </w:rPr>
              <w:t>–</w:t>
            </w:r>
            <w:r>
              <w:rPr>
                <w:sz w:val="15"/>
              </w:rPr>
              <w:t>1.04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448" w:right="353"/>
              <w:jc w:val="center"/>
              <w:rPr>
                <w:sz w:val="15"/>
              </w:rPr>
            </w:pPr>
            <w:r>
              <w:rPr>
                <w:sz w:val="15"/>
              </w:rPr>
              <w:t>1.88</w:t>
            </w:r>
          </w:p>
        </w:tc>
        <w:tc>
          <w:tcPr>
            <w:tcW w:w="2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 w:rsidP="005B0C4E">
            <w:pPr>
              <w:pStyle w:val="TableParagraph"/>
              <w:ind w:right="35"/>
              <w:jc w:val="center"/>
              <w:rPr>
                <w:sz w:val="15"/>
              </w:rPr>
            </w:pPr>
            <w:r>
              <w:rPr>
                <w:w w:val="85"/>
                <w:sz w:val="15"/>
              </w:rPr>
              <w:t>1.10:1</w:t>
            </w:r>
            <w:r>
              <w:rPr>
                <w:sz w:val="15"/>
              </w:rPr>
              <w:t xml:space="preserve"> against</w:t>
            </w:r>
          </w:p>
        </w:tc>
      </w:tr>
      <w:tr w:rsidR="005B0C4E">
        <w:trPr>
          <w:trHeight w:val="289"/>
        </w:trPr>
        <w:tc>
          <w:tcPr>
            <w:tcW w:w="2648" w:type="dxa"/>
            <w:vMerge/>
            <w:tcBorders>
              <w:top w:val="nil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141"/>
              <w:rPr>
                <w:sz w:val="15"/>
              </w:rPr>
            </w:pPr>
            <w:r>
              <w:rPr>
                <w:sz w:val="15"/>
              </w:rPr>
              <w:t>Independent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381" w:right="381"/>
              <w:jc w:val="center"/>
              <w:rPr>
                <w:sz w:val="15"/>
              </w:rPr>
            </w:pPr>
            <w:r>
              <w:rPr>
                <w:sz w:val="15"/>
              </w:rPr>
              <w:t>0.98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6"/>
              <w:ind w:left="412"/>
              <w:rPr>
                <w:sz w:val="15"/>
              </w:rPr>
            </w:pPr>
            <w:r>
              <w:rPr>
                <w:sz w:val="15"/>
              </w:rPr>
              <w:t>0.85</w:t>
            </w:r>
            <w:r>
              <w:rPr>
                <w:rFonts w:ascii="Calibri" w:hAnsi="Calibri"/>
                <w:sz w:val="15"/>
              </w:rPr>
              <w:t>–</w:t>
            </w:r>
            <w:r>
              <w:rPr>
                <w:sz w:val="15"/>
              </w:rPr>
              <w:t>1.13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448" w:right="353"/>
              <w:jc w:val="center"/>
              <w:rPr>
                <w:sz w:val="15"/>
              </w:rPr>
            </w:pPr>
            <w:r>
              <w:rPr>
                <w:sz w:val="15"/>
              </w:rPr>
              <w:t>0.09</w:t>
            </w:r>
          </w:p>
        </w:tc>
        <w:tc>
          <w:tcPr>
            <w:tcW w:w="2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 w:rsidP="005B0C4E">
            <w:pPr>
              <w:pStyle w:val="TableParagraph"/>
              <w:ind w:right="35"/>
              <w:jc w:val="center"/>
              <w:rPr>
                <w:sz w:val="15"/>
              </w:rPr>
            </w:pPr>
            <w:r>
              <w:rPr>
                <w:w w:val="85"/>
                <w:sz w:val="15"/>
              </w:rPr>
              <w:t>1.02:1</w:t>
            </w:r>
            <w:r>
              <w:rPr>
                <w:sz w:val="15"/>
              </w:rPr>
              <w:t xml:space="preserve"> against</w:t>
            </w:r>
          </w:p>
        </w:tc>
      </w:tr>
      <w:tr w:rsidR="005B0C4E">
        <w:trPr>
          <w:trHeight w:val="284"/>
        </w:trPr>
        <w:tc>
          <w:tcPr>
            <w:tcW w:w="2648" w:type="dxa"/>
            <w:vMerge w:val="restart"/>
            <w:tcBorders>
              <w:top w:val="single" w:sz="2" w:space="0" w:color="000000"/>
              <w:bottom w:val="single" w:sz="6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141"/>
              <w:rPr>
                <w:sz w:val="15"/>
              </w:rPr>
            </w:pPr>
            <w:r>
              <w:rPr>
                <w:sz w:val="15"/>
              </w:rPr>
              <w:t>Regular religious attendance</w:t>
            </w:r>
          </w:p>
        </w:tc>
        <w:tc>
          <w:tcPr>
            <w:tcW w:w="1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141"/>
              <w:rPr>
                <w:sz w:val="15"/>
              </w:rPr>
            </w:pPr>
            <w:r>
              <w:rPr>
                <w:sz w:val="15"/>
              </w:rPr>
              <w:t>Zero order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ind w:left="381" w:right="381"/>
              <w:jc w:val="center"/>
              <w:rPr>
                <w:sz w:val="15"/>
              </w:rPr>
            </w:pPr>
            <w:r>
              <w:rPr>
                <w:sz w:val="15"/>
              </w:rPr>
              <w:t>0.88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6"/>
              <w:ind w:left="412"/>
              <w:rPr>
                <w:sz w:val="15"/>
              </w:rPr>
            </w:pPr>
            <w:r>
              <w:rPr>
                <w:sz w:val="15"/>
              </w:rPr>
              <w:t>0.77</w:t>
            </w:r>
            <w:r>
              <w:rPr>
                <w:rFonts w:ascii="Calibri" w:hAnsi="Calibri"/>
                <w:sz w:val="15"/>
              </w:rPr>
              <w:t>–</w:t>
            </w:r>
            <w:r>
              <w:rPr>
                <w:sz w:val="15"/>
              </w:rPr>
              <w:t>1.01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6"/>
              <w:ind w:left="486"/>
              <w:rPr>
                <w:rFonts w:ascii="Calibri" w:hAnsi="Calibri"/>
                <w:sz w:val="15"/>
              </w:rPr>
            </w:pPr>
            <w:r>
              <w:rPr>
                <w:sz w:val="15"/>
              </w:rPr>
              <w:t>3.38</w:t>
            </w:r>
            <w:r>
              <w:rPr>
                <w:rFonts w:ascii="Calibri" w:hAnsi="Calibri"/>
                <w:sz w:val="15"/>
                <w:vertAlign w:val="superscript"/>
              </w:rPr>
              <w:t>†</w:t>
            </w:r>
          </w:p>
        </w:tc>
        <w:tc>
          <w:tcPr>
            <w:tcW w:w="2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CF0EF"/>
          </w:tcPr>
          <w:p w:rsidR="005B0C4E" w:rsidRDefault="005B0C4E" w:rsidP="005B0C4E">
            <w:pPr>
              <w:pStyle w:val="TableParagraph"/>
              <w:ind w:right="35"/>
              <w:jc w:val="center"/>
              <w:rPr>
                <w:sz w:val="15"/>
              </w:rPr>
            </w:pPr>
            <w:r>
              <w:rPr>
                <w:w w:val="85"/>
                <w:sz w:val="15"/>
              </w:rPr>
              <w:t>1.14:1</w:t>
            </w:r>
            <w:r>
              <w:rPr>
                <w:sz w:val="15"/>
              </w:rPr>
              <w:t xml:space="preserve"> against</w:t>
            </w:r>
          </w:p>
        </w:tc>
      </w:tr>
      <w:tr w:rsidR="005B0C4E">
        <w:trPr>
          <w:trHeight w:val="282"/>
        </w:trPr>
        <w:tc>
          <w:tcPr>
            <w:tcW w:w="2648" w:type="dxa"/>
            <w:vMerge/>
            <w:tcBorders>
              <w:top w:val="nil"/>
              <w:bottom w:val="single" w:sz="6" w:space="0" w:color="000000"/>
            </w:tcBorders>
            <w:shd w:val="clear" w:color="auto" w:fill="FCF0EF"/>
          </w:tcPr>
          <w:p w:rsidR="005B0C4E" w:rsidRDefault="005B0C4E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5"/>
              <w:ind w:left="141"/>
              <w:rPr>
                <w:sz w:val="15"/>
              </w:rPr>
            </w:pPr>
            <w:r>
              <w:rPr>
                <w:sz w:val="15"/>
              </w:rPr>
              <w:t>Independent</w:t>
            </w:r>
          </w:p>
        </w:tc>
        <w:tc>
          <w:tcPr>
            <w:tcW w:w="1494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5"/>
              <w:ind w:left="381" w:right="381"/>
              <w:jc w:val="center"/>
              <w:rPr>
                <w:sz w:val="15"/>
              </w:rPr>
            </w:pPr>
            <w:r>
              <w:rPr>
                <w:sz w:val="15"/>
              </w:rPr>
              <w:t>1.41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3"/>
              <w:ind w:left="412"/>
              <w:rPr>
                <w:sz w:val="15"/>
              </w:rPr>
            </w:pPr>
            <w:r>
              <w:rPr>
                <w:sz w:val="15"/>
              </w:rPr>
              <w:t>1.19</w:t>
            </w:r>
            <w:r>
              <w:rPr>
                <w:rFonts w:ascii="Calibri" w:hAnsi="Calibri"/>
                <w:sz w:val="15"/>
              </w:rPr>
              <w:t>–</w:t>
            </w:r>
            <w:r>
              <w:rPr>
                <w:sz w:val="15"/>
              </w:rPr>
              <w:t>1.67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FCF0EF"/>
          </w:tcPr>
          <w:p w:rsidR="005B0C4E" w:rsidRDefault="005B0C4E">
            <w:pPr>
              <w:pStyle w:val="TableParagraph"/>
              <w:spacing w:before="65"/>
              <w:ind w:left="412"/>
              <w:rPr>
                <w:sz w:val="15"/>
              </w:rPr>
            </w:pPr>
            <w:r>
              <w:rPr>
                <w:sz w:val="15"/>
              </w:rPr>
              <w:t>15.77***</w:t>
            </w:r>
          </w:p>
        </w:tc>
        <w:tc>
          <w:tcPr>
            <w:tcW w:w="2220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FCF0EF"/>
          </w:tcPr>
          <w:p w:rsidR="005B0C4E" w:rsidRDefault="005B0C4E" w:rsidP="005B0C4E">
            <w:pPr>
              <w:pStyle w:val="TableParagraph"/>
              <w:spacing w:before="65"/>
              <w:ind w:right="16"/>
              <w:jc w:val="center"/>
              <w:rPr>
                <w:sz w:val="15"/>
              </w:rPr>
            </w:pPr>
            <w:r>
              <w:rPr>
                <w:w w:val="85"/>
                <w:sz w:val="15"/>
              </w:rPr>
              <w:t>1.41:1</w:t>
            </w:r>
            <w:r>
              <w:rPr>
                <w:sz w:val="15"/>
              </w:rPr>
              <w:t xml:space="preserve"> for</w:t>
            </w:r>
          </w:p>
        </w:tc>
      </w:tr>
    </w:tbl>
    <w:p w:rsidR="008443D8" w:rsidRDefault="00B73390">
      <w:pPr>
        <w:spacing w:before="63"/>
        <w:ind w:left="190"/>
        <w:rPr>
          <w:rFonts w:ascii="Arial" w:hAnsi="Arial"/>
          <w:sz w:val="13"/>
        </w:rPr>
      </w:pPr>
      <w:r>
        <w:rPr>
          <w:rFonts w:ascii="Calibri" w:hAnsi="Calibri"/>
          <w:position w:val="6"/>
          <w:sz w:val="8"/>
        </w:rPr>
        <w:t>†</w:t>
      </w:r>
      <w:proofErr w:type="gramStart"/>
      <w:r>
        <w:rPr>
          <w:rFonts w:ascii="Calibri" w:hAnsi="Calibri"/>
          <w:i/>
          <w:sz w:val="13"/>
        </w:rPr>
        <w:t>p</w:t>
      </w:r>
      <w:proofErr w:type="gramEnd"/>
      <w:r>
        <w:rPr>
          <w:rFonts w:ascii="Calibri" w:hAnsi="Calibri"/>
          <w:i/>
          <w:sz w:val="13"/>
        </w:rPr>
        <w:t xml:space="preserve"> </w:t>
      </w:r>
      <w:r>
        <w:rPr>
          <w:rFonts w:ascii="Arial" w:hAnsi="Arial"/>
          <w:sz w:val="13"/>
        </w:rPr>
        <w:t>&lt; .10. *</w:t>
      </w:r>
      <w:proofErr w:type="gramStart"/>
      <w:r>
        <w:rPr>
          <w:rFonts w:ascii="Calibri" w:hAnsi="Calibri"/>
          <w:i/>
          <w:sz w:val="13"/>
        </w:rPr>
        <w:t>p</w:t>
      </w:r>
      <w:proofErr w:type="gramEnd"/>
      <w:r>
        <w:rPr>
          <w:rFonts w:ascii="Calibri" w:hAnsi="Calibri"/>
          <w:i/>
          <w:sz w:val="13"/>
        </w:rPr>
        <w:t xml:space="preserve"> </w:t>
      </w:r>
      <w:r>
        <w:rPr>
          <w:rFonts w:ascii="Arial" w:hAnsi="Arial"/>
          <w:sz w:val="13"/>
        </w:rPr>
        <w:t>&lt; .05. **</w:t>
      </w:r>
      <w:proofErr w:type="gramStart"/>
      <w:r>
        <w:rPr>
          <w:rFonts w:ascii="Calibri" w:hAnsi="Calibri"/>
          <w:i/>
          <w:sz w:val="13"/>
        </w:rPr>
        <w:t>p</w:t>
      </w:r>
      <w:proofErr w:type="gramEnd"/>
      <w:r>
        <w:rPr>
          <w:rFonts w:ascii="Calibri" w:hAnsi="Calibri"/>
          <w:i/>
          <w:sz w:val="13"/>
        </w:rPr>
        <w:t xml:space="preserve"> </w:t>
      </w:r>
      <w:r>
        <w:rPr>
          <w:rFonts w:ascii="Arial" w:hAnsi="Arial"/>
          <w:sz w:val="13"/>
        </w:rPr>
        <w:t>&lt; .01. ***</w:t>
      </w:r>
      <w:proofErr w:type="gramStart"/>
      <w:r>
        <w:rPr>
          <w:rFonts w:ascii="Calibri" w:hAnsi="Calibri"/>
          <w:i/>
          <w:sz w:val="13"/>
        </w:rPr>
        <w:t>p</w:t>
      </w:r>
      <w:proofErr w:type="gramEnd"/>
      <w:r>
        <w:rPr>
          <w:rFonts w:ascii="Calibri" w:hAnsi="Calibri"/>
          <w:i/>
          <w:sz w:val="13"/>
        </w:rPr>
        <w:t xml:space="preserve"> </w:t>
      </w:r>
      <w:r>
        <w:rPr>
          <w:rFonts w:ascii="Arial" w:hAnsi="Arial"/>
          <w:sz w:val="13"/>
        </w:rPr>
        <w:t>&lt; .001.</w:t>
      </w:r>
    </w:p>
    <w:p w:rsidR="008443D8" w:rsidRDefault="008443D8">
      <w:pPr>
        <w:pStyle w:val="BodyText"/>
        <w:spacing w:before="8"/>
        <w:rPr>
          <w:rFonts w:ascii="Arial"/>
          <w:sz w:val="27"/>
        </w:rPr>
      </w:pPr>
    </w:p>
    <w:p w:rsidR="008443D8" w:rsidRDefault="008443D8">
      <w:pPr>
        <w:rPr>
          <w:rFonts w:ascii="Arial"/>
          <w:sz w:val="27"/>
        </w:rPr>
        <w:sectPr w:rsidR="008443D8">
          <w:pgSz w:w="11880" w:h="15840"/>
          <w:pgMar w:top="900" w:right="660" w:bottom="280" w:left="660" w:header="699" w:footer="0" w:gutter="0"/>
        </w:sectPr>
      </w:pPr>
    </w:p>
    <w:p w:rsidR="008443D8" w:rsidRDefault="00B73390">
      <w:pPr>
        <w:pStyle w:val="BodyText"/>
        <w:spacing w:before="142" w:line="199" w:lineRule="auto"/>
        <w:ind w:left="190" w:right="38"/>
        <w:jc w:val="both"/>
      </w:pPr>
      <w:proofErr w:type="gramStart"/>
      <w:r>
        <w:rPr>
          <w:w w:val="105"/>
        </w:rPr>
        <w:t>nominally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significantly</w:t>
      </w:r>
      <w:r>
        <w:rPr>
          <w:spacing w:val="-8"/>
          <w:w w:val="105"/>
        </w:rPr>
        <w:t xml:space="preserve"> </w:t>
      </w:r>
      <w:r>
        <w:rPr>
          <w:w w:val="105"/>
        </w:rPr>
        <w:t>negatively</w:t>
      </w:r>
      <w:r>
        <w:rPr>
          <w:spacing w:val="-7"/>
          <w:w w:val="105"/>
        </w:rPr>
        <w:t xml:space="preserve"> </w:t>
      </w:r>
      <w:r>
        <w:rPr>
          <w:w w:val="105"/>
        </w:rPr>
        <w:t>related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PH</w:t>
      </w:r>
      <w:r>
        <w:rPr>
          <w:spacing w:val="-7"/>
          <w:w w:val="105"/>
        </w:rPr>
        <w:t xml:space="preserve"> </w:t>
      </w:r>
      <w:r>
        <w:rPr>
          <w:w w:val="105"/>
        </w:rPr>
        <w:t>zero</w:t>
      </w:r>
      <w:r>
        <w:rPr>
          <w:spacing w:val="-7"/>
          <w:w w:val="105"/>
        </w:rPr>
        <w:t xml:space="preserve"> </w:t>
      </w:r>
      <w:r>
        <w:rPr>
          <w:w w:val="105"/>
        </w:rPr>
        <w:t>order.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The independent relations of </w:t>
      </w:r>
      <w:r>
        <w:rPr>
          <w:spacing w:val="-2"/>
          <w:w w:val="105"/>
        </w:rPr>
        <w:t xml:space="preserve">prayer </w:t>
      </w:r>
      <w:r>
        <w:rPr>
          <w:w w:val="105"/>
        </w:rPr>
        <w:t xml:space="preserve">and belief in God to PH remained negative in binary logistic regression, though religious attendance became positively related, and belief in the afterlife remained unrelated. Controlling for the demographic variables </w:t>
      </w:r>
      <w:r>
        <w:rPr>
          <w:spacing w:val="-3"/>
          <w:w w:val="105"/>
        </w:rPr>
        <w:t xml:space="preserve">previously </w:t>
      </w:r>
      <w:r>
        <w:rPr>
          <w:w w:val="105"/>
        </w:rPr>
        <w:t xml:space="preserve">controlled by </w:t>
      </w:r>
      <w:proofErr w:type="spellStart"/>
      <w:r>
        <w:rPr>
          <w:w w:val="105"/>
        </w:rPr>
        <w:t>Ginges</w:t>
      </w:r>
      <w:proofErr w:type="spellEnd"/>
      <w:r>
        <w:rPr>
          <w:w w:val="105"/>
        </w:rPr>
        <w:t xml:space="preserve"> and colleagues did not change </w:t>
      </w:r>
      <w:r>
        <w:rPr>
          <w:spacing w:val="-3"/>
          <w:w w:val="105"/>
        </w:rPr>
        <w:t xml:space="preserve">these </w:t>
      </w:r>
      <w:r>
        <w:rPr>
          <w:w w:val="105"/>
        </w:rPr>
        <w:t>relationships.</w:t>
      </w:r>
    </w:p>
    <w:p w:rsidR="008443D8" w:rsidRDefault="00B73390" w:rsidP="00B73390">
      <w:pPr>
        <w:pStyle w:val="Heading2"/>
        <w:spacing w:before="95" w:line="228" w:lineRule="auto"/>
        <w:ind w:right="224"/>
        <w:rPr>
          <w:sz w:val="22"/>
        </w:rPr>
      </w:pPr>
      <w:r>
        <w:br w:type="column"/>
      </w:r>
      <w:r>
        <w:rPr>
          <w:sz w:val="22"/>
        </w:rPr>
        <w:t xml:space="preserve"> </w:t>
      </w:r>
    </w:p>
    <w:p w:rsidR="008443D8" w:rsidRDefault="008443D8">
      <w:pPr>
        <w:spacing w:line="130" w:lineRule="exact"/>
        <w:sectPr w:rsidR="008443D8">
          <w:type w:val="continuous"/>
          <w:pgSz w:w="11880" w:h="15840"/>
          <w:pgMar w:top="580" w:right="660" w:bottom="280" w:left="660" w:gutter="0"/>
          <w:cols w:num="2" w:equalWidth="0">
            <w:col w:w="5220" w:space="53"/>
            <w:col w:w="5287"/>
          </w:cols>
        </w:sectPr>
      </w:pPr>
    </w:p>
    <w:p w:rsidR="008443D8" w:rsidRDefault="00B73390">
      <w:pPr>
        <w:pStyle w:val="BodyText"/>
        <w:tabs>
          <w:tab w:val="left" w:pos="5462"/>
          <w:tab w:val="left" w:pos="10451"/>
        </w:tabs>
        <w:spacing w:line="212" w:lineRule="exact"/>
        <w:ind w:left="430"/>
        <w:rPr>
          <w:rFonts w:ascii="Times New Roman"/>
        </w:rPr>
      </w:pPr>
      <w:r>
        <w:rPr>
          <w:w w:val="105"/>
        </w:rPr>
        <w:t>This</w:t>
      </w:r>
      <w:r>
        <w:rPr>
          <w:spacing w:val="7"/>
          <w:w w:val="105"/>
        </w:rPr>
        <w:t xml:space="preserve"> </w:t>
      </w:r>
      <w:r>
        <w:rPr>
          <w:w w:val="105"/>
        </w:rPr>
        <w:t>negative</w:t>
      </w:r>
      <w:r>
        <w:rPr>
          <w:spacing w:val="8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7"/>
          <w:w w:val="105"/>
        </w:rPr>
        <w:t xml:space="preserve"> </w:t>
      </w:r>
      <w:r>
        <w:rPr>
          <w:w w:val="105"/>
        </w:rPr>
        <w:t>between</w:t>
      </w:r>
      <w:r>
        <w:rPr>
          <w:spacing w:val="8"/>
          <w:w w:val="105"/>
        </w:rPr>
        <w:t xml:space="preserve"> </w:t>
      </w:r>
      <w:r>
        <w:rPr>
          <w:w w:val="105"/>
        </w:rPr>
        <w:t>SA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PH</w:t>
      </w:r>
      <w:r>
        <w:rPr>
          <w:spacing w:val="8"/>
          <w:w w:val="105"/>
        </w:rPr>
        <w:t xml:space="preserve"> </w:t>
      </w:r>
      <w:r>
        <w:rPr>
          <w:w w:val="105"/>
        </w:rPr>
        <w:t>is</w:t>
      </w:r>
      <w:r>
        <w:rPr>
          <w:spacing w:val="7"/>
          <w:w w:val="105"/>
        </w:rPr>
        <w:t xml:space="preserve"> </w:t>
      </w:r>
      <w:r>
        <w:rPr>
          <w:w w:val="105"/>
        </w:rPr>
        <w:t>also</w:t>
      </w:r>
      <w:r>
        <w:rPr>
          <w:spacing w:val="9"/>
          <w:w w:val="105"/>
        </w:rPr>
        <w:t xml:space="preserve"> </w:t>
      </w:r>
      <w:r>
        <w:rPr>
          <w:w w:val="105"/>
        </w:rPr>
        <w:t>evident</w:t>
      </w:r>
      <w:r>
        <w:tab/>
      </w:r>
      <w:r>
        <w:rPr>
          <w:rFonts w:ascii="Times New Roman"/>
          <w:u w:val="single" w:color="DF3E31"/>
        </w:rPr>
        <w:t xml:space="preserve"> </w:t>
      </w:r>
      <w:r>
        <w:rPr>
          <w:rFonts w:ascii="Times New Roman"/>
          <w:u w:val="single" w:color="DF3E31"/>
        </w:rPr>
        <w:tab/>
      </w:r>
    </w:p>
    <w:p w:rsidR="008443D8" w:rsidRDefault="008443D8">
      <w:pPr>
        <w:spacing w:line="212" w:lineRule="exact"/>
        <w:rPr>
          <w:rFonts w:ascii="Times New Roman"/>
        </w:rPr>
        <w:sectPr w:rsidR="008443D8">
          <w:type w:val="continuous"/>
          <w:pgSz w:w="11880" w:h="15840"/>
          <w:pgMar w:top="580" w:right="660" w:bottom="280" w:left="660" w:gutter="0"/>
        </w:sectPr>
      </w:pPr>
    </w:p>
    <w:p w:rsidR="008443D8" w:rsidRDefault="00B73390">
      <w:pPr>
        <w:pStyle w:val="BodyText"/>
        <w:spacing w:before="4" w:line="199" w:lineRule="auto"/>
        <w:ind w:left="190" w:right="38"/>
        <w:jc w:val="both"/>
      </w:pPr>
      <w:proofErr w:type="gramStart"/>
      <w:r>
        <w:rPr>
          <w:w w:val="105"/>
        </w:rPr>
        <w:t>in</w:t>
      </w:r>
      <w:proofErr w:type="gram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reanalyses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Hansen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al.</w:t>
      </w:r>
      <w:r>
        <w:rPr>
          <w:spacing w:val="-9"/>
          <w:w w:val="105"/>
        </w:rPr>
        <w:t xml:space="preserve"> </w:t>
      </w:r>
      <w:r>
        <w:rPr>
          <w:w w:val="105"/>
        </w:rPr>
        <w:t>(</w:t>
      </w:r>
      <w:hyperlink w:anchor="_bookmark230" w:history="1">
        <w:r>
          <w:rPr>
            <w:color w:val="0000FF"/>
            <w:w w:val="105"/>
          </w:rPr>
          <w:t>2018</w:t>
        </w:r>
      </w:hyperlink>
      <w:r>
        <w:rPr>
          <w:w w:val="105"/>
        </w:rPr>
        <w:t>),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well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two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add- </w:t>
      </w:r>
      <w:proofErr w:type="spellStart"/>
      <w:r>
        <w:rPr>
          <w:w w:val="105"/>
        </w:rPr>
        <w:t>itional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sets</w:t>
      </w:r>
      <w:r>
        <w:rPr>
          <w:spacing w:val="-7"/>
          <w:w w:val="105"/>
        </w:rPr>
        <w:t xml:space="preserve"> </w:t>
      </w:r>
      <w:r>
        <w:rPr>
          <w:w w:val="105"/>
        </w:rPr>
        <w:t>measuring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SA</w:t>
      </w:r>
      <w:r>
        <w:rPr>
          <w:rFonts w:ascii="Trebuchet MS" w:hAnsi="Trebuchet MS"/>
          <w:w w:val="105"/>
        </w:rPr>
        <w:t>’</w:t>
      </w:r>
      <w:r>
        <w:rPr>
          <w:w w:val="105"/>
        </w:rPr>
        <w:t>s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relationship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other</w:t>
      </w:r>
      <w:r>
        <w:rPr>
          <w:spacing w:val="-8"/>
          <w:w w:val="105"/>
        </w:rPr>
        <w:t xml:space="preserve"> </w:t>
      </w:r>
      <w:r>
        <w:rPr>
          <w:w w:val="105"/>
        </w:rPr>
        <w:t>forms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PH. These</w:t>
      </w:r>
      <w:r>
        <w:rPr>
          <w:spacing w:val="-5"/>
          <w:w w:val="105"/>
        </w:rPr>
        <w:t xml:space="preserve"> </w:t>
      </w:r>
      <w:r>
        <w:rPr>
          <w:w w:val="105"/>
        </w:rPr>
        <w:t>analyses</w:t>
      </w:r>
      <w:r>
        <w:rPr>
          <w:spacing w:val="-4"/>
          <w:w w:val="105"/>
        </w:rPr>
        <w:t xml:space="preserve"> </w:t>
      </w:r>
      <w:r>
        <w:rPr>
          <w:w w:val="105"/>
        </w:rPr>
        <w:t>(Hansen,</w:t>
      </w:r>
      <w:r>
        <w:rPr>
          <w:spacing w:val="-4"/>
          <w:w w:val="105"/>
        </w:rPr>
        <w:t xml:space="preserve"> </w:t>
      </w:r>
      <w:hyperlink w:anchor="_bookmark231" w:history="1">
        <w:r>
          <w:rPr>
            <w:color w:val="0000FF"/>
            <w:w w:val="105"/>
          </w:rPr>
          <w:t>in</w:t>
        </w:r>
        <w:r>
          <w:rPr>
            <w:color w:val="0000FF"/>
            <w:spacing w:val="-5"/>
            <w:w w:val="105"/>
          </w:rPr>
          <w:t xml:space="preserve"> </w:t>
        </w:r>
        <w:r>
          <w:rPr>
            <w:color w:val="0000FF"/>
            <w:w w:val="105"/>
          </w:rPr>
          <w:t>preparation</w:t>
        </w:r>
      </w:hyperlink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Study</w:t>
      </w:r>
      <w:r>
        <w:rPr>
          <w:spacing w:val="-3"/>
          <w:w w:val="105"/>
        </w:rPr>
        <w:t xml:space="preserve"> </w:t>
      </w:r>
      <w:r>
        <w:rPr>
          <w:w w:val="105"/>
        </w:rPr>
        <w:t>3)</w:t>
      </w:r>
      <w:r>
        <w:rPr>
          <w:spacing w:val="-5"/>
          <w:w w:val="105"/>
        </w:rPr>
        <w:t xml:space="preserve"> </w:t>
      </w:r>
      <w:r>
        <w:rPr>
          <w:w w:val="105"/>
        </w:rPr>
        <w:t>confirm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SA, like basic religiosity in general, negatively predicts Freedom House-rated oppression in a country and the number of refugees fleeing that country. The analyses also confirm that SA is </w:t>
      </w:r>
      <w:proofErr w:type="spellStart"/>
      <w:r>
        <w:rPr>
          <w:w w:val="105"/>
        </w:rPr>
        <w:t>nega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tively</w:t>
      </w:r>
      <w:proofErr w:type="spellEnd"/>
      <w:r>
        <w:rPr>
          <w:w w:val="105"/>
        </w:rPr>
        <w:t xml:space="preserve"> related to support for killing religious others and </w:t>
      </w:r>
      <w:r>
        <w:rPr>
          <w:rFonts w:ascii="Trebuchet MS" w:hAnsi="Trebuchet MS"/>
          <w:w w:val="105"/>
        </w:rPr>
        <w:t>“</w:t>
      </w:r>
      <w:r>
        <w:rPr>
          <w:w w:val="105"/>
        </w:rPr>
        <w:t>the wicked,</w:t>
      </w:r>
      <w:r>
        <w:rPr>
          <w:rFonts w:ascii="Trebuchet MS" w:hAnsi="Trebuchet MS"/>
          <w:w w:val="105"/>
        </w:rPr>
        <w:t xml:space="preserve">” </w:t>
      </w:r>
      <w:r>
        <w:rPr>
          <w:w w:val="105"/>
        </w:rPr>
        <w:t xml:space="preserve">at least when </w:t>
      </w:r>
      <w:r>
        <w:rPr>
          <w:rFonts w:ascii="Trebuchet MS" w:hAnsi="Trebuchet MS"/>
          <w:w w:val="105"/>
        </w:rPr>
        <w:t>“</w:t>
      </w:r>
      <w:r>
        <w:rPr>
          <w:w w:val="105"/>
        </w:rPr>
        <w:t>coalitional rigidity</w:t>
      </w:r>
      <w:r>
        <w:rPr>
          <w:rFonts w:ascii="Trebuchet MS" w:hAnsi="Trebuchet MS"/>
          <w:w w:val="105"/>
        </w:rPr>
        <w:t xml:space="preserve">” </w:t>
      </w:r>
      <w:r>
        <w:rPr>
          <w:w w:val="105"/>
        </w:rPr>
        <w:t>variables (Hansen</w:t>
      </w:r>
      <w:r>
        <w:rPr>
          <w:spacing w:val="-24"/>
          <w:w w:val="105"/>
        </w:rPr>
        <w:t xml:space="preserve"> </w:t>
      </w:r>
      <w:r>
        <w:rPr>
          <w:w w:val="105"/>
        </w:rPr>
        <w:t xml:space="preserve">&amp; Ryder </w:t>
      </w:r>
      <w:hyperlink w:anchor="_bookmark232" w:history="1">
        <w:r>
          <w:rPr>
            <w:color w:val="0000FF"/>
            <w:w w:val="105"/>
          </w:rPr>
          <w:t>2016</w:t>
        </w:r>
      </w:hyperlink>
      <w:r>
        <w:rPr>
          <w:w w:val="105"/>
        </w:rPr>
        <w:t>) are</w:t>
      </w:r>
      <w:r>
        <w:rPr>
          <w:spacing w:val="33"/>
          <w:w w:val="105"/>
        </w:rPr>
        <w:t xml:space="preserve"> </w:t>
      </w:r>
      <w:r>
        <w:rPr>
          <w:w w:val="105"/>
        </w:rPr>
        <w:t>controlled.</w:t>
      </w:r>
    </w:p>
    <w:p w:rsidR="008443D8" w:rsidRDefault="00B73390">
      <w:pPr>
        <w:pStyle w:val="BodyText"/>
        <w:spacing w:line="199" w:lineRule="auto"/>
        <w:ind w:left="190" w:right="38" w:firstLine="240"/>
        <w:jc w:val="both"/>
      </w:pPr>
      <w:r>
        <w:rPr>
          <w:spacing w:val="-3"/>
          <w:w w:val="105"/>
        </w:rPr>
        <w:t xml:space="preserve">To </w:t>
      </w:r>
      <w:r>
        <w:rPr>
          <w:w w:val="105"/>
        </w:rPr>
        <w:t>understand phenomena</w:t>
      </w:r>
      <w:r>
        <w:rPr>
          <w:spacing w:val="51"/>
          <w:w w:val="105"/>
        </w:rPr>
        <w:t xml:space="preserve"> </w:t>
      </w:r>
      <w:proofErr w:type="gramStart"/>
      <w:r>
        <w:rPr>
          <w:w w:val="105"/>
        </w:rPr>
        <w:t>conjoining  killing</w:t>
      </w:r>
      <w:proofErr w:type="gramEnd"/>
      <w:r>
        <w:rPr>
          <w:w w:val="105"/>
        </w:rPr>
        <w:t xml:space="preserve">  and  dying (like violent martyrdom operations), step one should be to address the inherent tension between them, specifically the </w:t>
      </w:r>
      <w:proofErr w:type="spellStart"/>
      <w:r>
        <w:rPr>
          <w:spacing w:val="-3"/>
          <w:w w:val="105"/>
        </w:rPr>
        <w:t>poten</w:t>
      </w:r>
      <w:proofErr w:type="spellEnd"/>
      <w:r>
        <w:rPr>
          <w:spacing w:val="-3"/>
          <w:w w:val="105"/>
        </w:rPr>
        <w:t xml:space="preserve">- </w:t>
      </w:r>
      <w:proofErr w:type="spellStart"/>
      <w:r>
        <w:rPr>
          <w:w w:val="105"/>
        </w:rPr>
        <w:t>tially</w:t>
      </w:r>
      <w:proofErr w:type="spellEnd"/>
      <w:r>
        <w:rPr>
          <w:w w:val="105"/>
        </w:rPr>
        <w:t xml:space="preserve"> inverse relationship between SA and PH.</w:t>
      </w:r>
      <w:r>
        <w:rPr>
          <w:spacing w:val="34"/>
          <w:w w:val="105"/>
        </w:rPr>
        <w:t xml:space="preserve"> </w:t>
      </w:r>
      <w:r>
        <w:rPr>
          <w:w w:val="105"/>
        </w:rPr>
        <w:t>Whitehouse</w:t>
      </w:r>
      <w:r>
        <w:rPr>
          <w:rFonts w:ascii="Trebuchet MS" w:hAnsi="Trebuchet MS"/>
          <w:w w:val="105"/>
        </w:rPr>
        <w:t>’</w:t>
      </w:r>
      <w:r>
        <w:rPr>
          <w:w w:val="105"/>
        </w:rPr>
        <w:t xml:space="preserve">s fusion theory might yet </w:t>
      </w:r>
      <w:r>
        <w:rPr>
          <w:spacing w:val="-3"/>
          <w:w w:val="105"/>
        </w:rPr>
        <w:t xml:space="preserve">prove </w:t>
      </w:r>
      <w:r>
        <w:rPr>
          <w:w w:val="105"/>
        </w:rPr>
        <w:t>relevant to identifying processes that can modulate this tension, but first the tension itself needs acknowledgment. I am concerned that Whitehouse</w:t>
      </w:r>
      <w:r>
        <w:rPr>
          <w:rFonts w:ascii="Trebuchet MS" w:hAnsi="Trebuchet MS"/>
          <w:w w:val="105"/>
        </w:rPr>
        <w:t>’</w:t>
      </w:r>
      <w:r>
        <w:rPr>
          <w:w w:val="105"/>
        </w:rPr>
        <w:t xml:space="preserve">s fusion theory, which neglects this tension, applies more readily to </w:t>
      </w:r>
      <w:proofErr w:type="spellStart"/>
      <w:r>
        <w:rPr>
          <w:w w:val="105"/>
        </w:rPr>
        <w:t>iden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tifying</w:t>
      </w:r>
      <w:proofErr w:type="spellEnd"/>
      <w:r>
        <w:rPr>
          <w:w w:val="105"/>
        </w:rPr>
        <w:t xml:space="preserve"> antecedents of SA than of PH, particularly given his </w:t>
      </w:r>
      <w:r>
        <w:rPr>
          <w:spacing w:val="-3"/>
          <w:w w:val="105"/>
        </w:rPr>
        <w:t xml:space="preserve">claim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Gandhi</w:t>
      </w:r>
      <w:r>
        <w:rPr>
          <w:rFonts w:ascii="Trebuchet MS" w:hAnsi="Trebuchet MS"/>
          <w:w w:val="105"/>
        </w:rPr>
        <w:t>’</w:t>
      </w:r>
      <w:r>
        <w:rPr>
          <w:w w:val="105"/>
        </w:rPr>
        <w:t>s</w:t>
      </w:r>
      <w:r>
        <w:rPr>
          <w:spacing w:val="-16"/>
          <w:w w:val="105"/>
        </w:rPr>
        <w:t xml:space="preserve"> </w:t>
      </w:r>
      <w:r>
        <w:rPr>
          <w:w w:val="105"/>
        </w:rPr>
        <w:t>hunger</w:t>
      </w:r>
      <w:r>
        <w:rPr>
          <w:spacing w:val="-15"/>
          <w:w w:val="105"/>
        </w:rPr>
        <w:t xml:space="preserve"> </w:t>
      </w:r>
      <w:r>
        <w:rPr>
          <w:w w:val="105"/>
        </w:rPr>
        <w:t>strikes</w:t>
      </w:r>
      <w:r>
        <w:rPr>
          <w:spacing w:val="-15"/>
          <w:w w:val="105"/>
        </w:rPr>
        <w:t xml:space="preserve"> </w:t>
      </w:r>
      <w:r>
        <w:rPr>
          <w:w w:val="105"/>
        </w:rPr>
        <w:t>followed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rFonts w:ascii="Trebuchet MS" w:hAnsi="Trebuchet MS"/>
          <w:w w:val="105"/>
        </w:rPr>
        <w:t>“</w:t>
      </w:r>
      <w:r>
        <w:rPr>
          <w:w w:val="105"/>
        </w:rPr>
        <w:t>logic</w:t>
      </w:r>
      <w:r>
        <w:rPr>
          <w:rFonts w:ascii="Trebuchet MS" w:hAnsi="Trebuchet MS"/>
          <w:w w:val="105"/>
        </w:rPr>
        <w:t>”</w:t>
      </w:r>
      <w:r>
        <w:rPr>
          <w:rFonts w:ascii="Trebuchet MS" w:hAnsi="Trebuchet MS"/>
          <w:spacing w:val="-2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Jewish</w:t>
      </w:r>
      <w:r>
        <w:rPr>
          <w:spacing w:val="-15"/>
          <w:w w:val="105"/>
        </w:rPr>
        <w:t xml:space="preserve"> </w:t>
      </w:r>
      <w:r>
        <w:rPr>
          <w:w w:val="105"/>
        </w:rPr>
        <w:t>zealots and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Ismaili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assassins</w:t>
      </w:r>
      <w:r>
        <w:rPr>
          <w:spacing w:val="-5"/>
          <w:w w:val="105"/>
        </w:rPr>
        <w:t xml:space="preserve"> </w:t>
      </w:r>
      <w:r>
        <w:rPr>
          <w:w w:val="105"/>
        </w:rPr>
        <w:t>(sect.</w:t>
      </w:r>
      <w:r>
        <w:rPr>
          <w:spacing w:val="-5"/>
          <w:w w:val="105"/>
        </w:rPr>
        <w:t xml:space="preserve"> </w:t>
      </w:r>
      <w:r>
        <w:rPr>
          <w:w w:val="105"/>
        </w:rPr>
        <w:t>5,</w:t>
      </w:r>
      <w:r>
        <w:rPr>
          <w:spacing w:val="-5"/>
          <w:w w:val="105"/>
        </w:rPr>
        <w:t xml:space="preserve"> </w:t>
      </w:r>
      <w:r>
        <w:rPr>
          <w:w w:val="105"/>
        </w:rPr>
        <w:t>next-to-last</w:t>
      </w:r>
      <w:r>
        <w:rPr>
          <w:spacing w:val="-5"/>
          <w:w w:val="105"/>
        </w:rPr>
        <w:t xml:space="preserve"> </w:t>
      </w:r>
      <w:r>
        <w:rPr>
          <w:w w:val="105"/>
        </w:rPr>
        <w:t>paragraph).</w:t>
      </w:r>
      <w:r>
        <w:rPr>
          <w:spacing w:val="-4"/>
          <w:w w:val="105"/>
        </w:rPr>
        <w:t xml:space="preserve"> </w:t>
      </w:r>
      <w:r>
        <w:rPr>
          <w:w w:val="105"/>
        </w:rPr>
        <w:t>What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makes this concerning is the potential for increased governmental interest in discerning emergent signs of fusion in certain social and political groups. If fusion theory </w:t>
      </w:r>
      <w:r>
        <w:rPr>
          <w:spacing w:val="-3"/>
          <w:w w:val="105"/>
        </w:rPr>
        <w:t xml:space="preserve">proves </w:t>
      </w:r>
      <w:r>
        <w:rPr>
          <w:w w:val="105"/>
        </w:rPr>
        <w:t xml:space="preserve">influential to, say, strategists at SRI International, the Human Resources Research Organization, and the Office of Naval Research, will the possibly vast amounts of money and </w:t>
      </w:r>
      <w:proofErr w:type="gramStart"/>
      <w:r>
        <w:rPr>
          <w:w w:val="105"/>
        </w:rPr>
        <w:t>manpower  directed</w:t>
      </w:r>
      <w:proofErr w:type="gramEnd"/>
      <w:r>
        <w:rPr>
          <w:w w:val="105"/>
        </w:rPr>
        <w:t xml:space="preserve">  to  profiling  and targeting </w:t>
      </w:r>
      <w:r>
        <w:rPr>
          <w:rFonts w:ascii="Trebuchet MS" w:hAnsi="Trebuchet MS"/>
          <w:w w:val="105"/>
        </w:rPr>
        <w:t>“</w:t>
      </w:r>
      <w:r>
        <w:rPr>
          <w:w w:val="105"/>
        </w:rPr>
        <w:t>fusers</w:t>
      </w:r>
      <w:r>
        <w:rPr>
          <w:rFonts w:ascii="Trebuchet MS" w:hAnsi="Trebuchet MS"/>
          <w:w w:val="105"/>
        </w:rPr>
        <w:t xml:space="preserve">” </w:t>
      </w:r>
      <w:r>
        <w:rPr>
          <w:w w:val="105"/>
        </w:rPr>
        <w:t>be most effective at preventing (a) mass murder or (b) the courageous risk of life and limb to rescue</w:t>
      </w:r>
      <w:r>
        <w:rPr>
          <w:spacing w:val="-25"/>
          <w:w w:val="105"/>
        </w:rPr>
        <w:t xml:space="preserve"> </w:t>
      </w:r>
      <w:r>
        <w:rPr>
          <w:w w:val="105"/>
        </w:rPr>
        <w:t>others from</w:t>
      </w:r>
      <w:r>
        <w:rPr>
          <w:spacing w:val="11"/>
          <w:w w:val="105"/>
        </w:rPr>
        <w:t xml:space="preserve"> </w:t>
      </w:r>
      <w:r>
        <w:rPr>
          <w:w w:val="105"/>
        </w:rPr>
        <w:t>it?</w:t>
      </w:r>
    </w:p>
    <w:p w:rsidR="008443D8" w:rsidRDefault="008443D8">
      <w:pPr>
        <w:pStyle w:val="BodyText"/>
        <w:spacing w:before="10"/>
      </w:pPr>
    </w:p>
    <w:p w:rsidR="008443D8" w:rsidRDefault="00A63B8F">
      <w:pPr>
        <w:spacing w:line="220" w:lineRule="auto"/>
        <w:ind w:left="190" w:right="38" w:hanging="3"/>
        <w:jc w:val="both"/>
        <w:rPr>
          <w:sz w:val="14"/>
        </w:rPr>
      </w:pPr>
      <w:r w:rsidRPr="00A63B8F">
        <w:pict>
          <v:shape id="_x0000_s1087" style="position:absolute;left:0;text-align:left;margin-left:39.85pt;margin-top:3.35pt;width:5.3pt;height:4.2pt;z-index:-251661312;mso-position-horizontal-relative:page" coordorigin="797,67" coordsize="106,84" path="m850,67l849,98,843,124,828,143,797,150,903,150,872,143,857,124,851,98,850,67xe" fillcolor="yellow" stroked="f">
            <v:path arrowok="t"/>
            <w10:wrap anchorx="page"/>
          </v:shape>
        </w:pict>
      </w:r>
      <w:r w:rsidR="00B73390">
        <w:rPr>
          <w:w w:val="110"/>
          <w:sz w:val="14"/>
        </w:rPr>
        <w:t>There</w:t>
      </w:r>
      <w:r w:rsidR="00B73390">
        <w:rPr>
          <w:spacing w:val="-5"/>
          <w:w w:val="110"/>
          <w:sz w:val="14"/>
        </w:rPr>
        <w:t xml:space="preserve"> </w:t>
      </w:r>
      <w:r w:rsidR="00B73390">
        <w:rPr>
          <w:w w:val="110"/>
          <w:sz w:val="14"/>
        </w:rPr>
        <w:t>was</w:t>
      </w:r>
      <w:r w:rsidR="00B73390">
        <w:rPr>
          <w:spacing w:val="-1"/>
          <w:w w:val="110"/>
          <w:sz w:val="14"/>
        </w:rPr>
        <w:t xml:space="preserve"> </w:t>
      </w:r>
      <w:r w:rsidR="00B73390">
        <w:rPr>
          <w:w w:val="110"/>
          <w:sz w:val="14"/>
        </w:rPr>
        <w:t>an</w:t>
      </w:r>
      <w:r w:rsidR="00B73390">
        <w:rPr>
          <w:spacing w:val="-1"/>
          <w:w w:val="110"/>
          <w:sz w:val="14"/>
        </w:rPr>
        <w:t xml:space="preserve"> </w:t>
      </w:r>
      <w:r w:rsidR="00B73390">
        <w:rPr>
          <w:w w:val="110"/>
          <w:sz w:val="14"/>
        </w:rPr>
        <w:t>error</w:t>
      </w:r>
      <w:r w:rsidR="00B73390">
        <w:rPr>
          <w:spacing w:val="-2"/>
          <w:w w:val="110"/>
          <w:sz w:val="14"/>
        </w:rPr>
        <w:t xml:space="preserve"> </w:t>
      </w:r>
      <w:r w:rsidR="00B73390">
        <w:rPr>
          <w:w w:val="110"/>
          <w:sz w:val="14"/>
        </w:rPr>
        <w:t>in</w:t>
      </w:r>
      <w:r w:rsidR="00B73390">
        <w:rPr>
          <w:spacing w:val="-2"/>
          <w:w w:val="110"/>
          <w:sz w:val="14"/>
        </w:rPr>
        <w:t xml:space="preserve"> </w:t>
      </w:r>
      <w:r w:rsidR="00B73390">
        <w:rPr>
          <w:w w:val="110"/>
          <w:sz w:val="14"/>
        </w:rPr>
        <w:t>the</w:t>
      </w:r>
      <w:r w:rsidR="00B73390">
        <w:rPr>
          <w:spacing w:val="-2"/>
          <w:w w:val="110"/>
          <w:sz w:val="14"/>
        </w:rPr>
        <w:t xml:space="preserve"> </w:t>
      </w:r>
      <w:r w:rsidR="00B73390">
        <w:rPr>
          <w:w w:val="110"/>
          <w:sz w:val="14"/>
        </w:rPr>
        <w:t>abstract</w:t>
      </w:r>
      <w:r w:rsidR="00B73390">
        <w:rPr>
          <w:spacing w:val="-2"/>
          <w:w w:val="110"/>
          <w:sz w:val="14"/>
        </w:rPr>
        <w:t xml:space="preserve"> </w:t>
      </w:r>
      <w:r w:rsidR="00B73390">
        <w:rPr>
          <w:w w:val="110"/>
          <w:sz w:val="14"/>
        </w:rPr>
        <w:t>to</w:t>
      </w:r>
      <w:r w:rsidR="00B73390">
        <w:rPr>
          <w:spacing w:val="-2"/>
          <w:w w:val="110"/>
          <w:sz w:val="14"/>
        </w:rPr>
        <w:t xml:space="preserve"> </w:t>
      </w:r>
      <w:r w:rsidR="00B73390">
        <w:rPr>
          <w:w w:val="110"/>
          <w:sz w:val="14"/>
        </w:rPr>
        <w:t>the</w:t>
      </w:r>
      <w:r w:rsidR="00B73390">
        <w:rPr>
          <w:spacing w:val="-2"/>
          <w:w w:val="110"/>
          <w:sz w:val="14"/>
        </w:rPr>
        <w:t xml:space="preserve"> </w:t>
      </w:r>
      <w:r w:rsidR="00B73390">
        <w:rPr>
          <w:w w:val="110"/>
          <w:sz w:val="14"/>
        </w:rPr>
        <w:t>commentary</w:t>
      </w:r>
      <w:r w:rsidR="00B73390">
        <w:rPr>
          <w:spacing w:val="-3"/>
          <w:w w:val="110"/>
          <w:sz w:val="14"/>
        </w:rPr>
        <w:t xml:space="preserve"> </w:t>
      </w:r>
      <w:r w:rsidR="00B73390">
        <w:rPr>
          <w:w w:val="110"/>
          <w:sz w:val="14"/>
        </w:rPr>
        <w:t>by</w:t>
      </w:r>
      <w:r w:rsidR="00B73390">
        <w:rPr>
          <w:spacing w:val="-2"/>
          <w:w w:val="110"/>
          <w:sz w:val="14"/>
        </w:rPr>
        <w:t xml:space="preserve"> </w:t>
      </w:r>
      <w:r w:rsidR="00B73390">
        <w:rPr>
          <w:w w:val="110"/>
          <w:sz w:val="14"/>
        </w:rPr>
        <w:t>Hansen</w:t>
      </w:r>
      <w:r w:rsidR="00B73390">
        <w:rPr>
          <w:spacing w:val="-1"/>
          <w:w w:val="110"/>
          <w:sz w:val="14"/>
        </w:rPr>
        <w:t xml:space="preserve"> </w:t>
      </w:r>
      <w:r w:rsidR="00B73390">
        <w:rPr>
          <w:w w:val="110"/>
          <w:sz w:val="14"/>
        </w:rPr>
        <w:t>in</w:t>
      </w:r>
      <w:r w:rsidR="00B73390">
        <w:rPr>
          <w:spacing w:val="-1"/>
          <w:w w:val="110"/>
          <w:sz w:val="14"/>
        </w:rPr>
        <w:t xml:space="preserve"> </w:t>
      </w:r>
      <w:r w:rsidR="00B73390">
        <w:rPr>
          <w:w w:val="110"/>
          <w:sz w:val="14"/>
        </w:rPr>
        <w:t>the</w:t>
      </w:r>
      <w:r w:rsidR="00B73390">
        <w:rPr>
          <w:spacing w:val="-3"/>
          <w:w w:val="110"/>
          <w:sz w:val="14"/>
        </w:rPr>
        <w:t xml:space="preserve"> </w:t>
      </w:r>
      <w:r w:rsidR="00B73390">
        <w:rPr>
          <w:w w:val="110"/>
          <w:sz w:val="14"/>
        </w:rPr>
        <w:t>original</w:t>
      </w:r>
      <w:r w:rsidR="00B73390">
        <w:rPr>
          <w:spacing w:val="-2"/>
          <w:w w:val="110"/>
          <w:sz w:val="14"/>
        </w:rPr>
        <w:t xml:space="preserve"> </w:t>
      </w:r>
      <w:r w:rsidR="00B73390">
        <w:rPr>
          <w:w w:val="110"/>
          <w:sz w:val="14"/>
        </w:rPr>
        <w:t>online version. It has been corrected and an erratum has been</w:t>
      </w:r>
      <w:r w:rsidR="00B73390">
        <w:rPr>
          <w:spacing w:val="35"/>
          <w:w w:val="110"/>
          <w:sz w:val="14"/>
        </w:rPr>
        <w:t xml:space="preserve"> </w:t>
      </w:r>
      <w:r w:rsidR="00B73390">
        <w:rPr>
          <w:w w:val="110"/>
          <w:sz w:val="14"/>
        </w:rPr>
        <w:t>published.</w:t>
      </w:r>
    </w:p>
    <w:p w:rsidR="008443D8" w:rsidRDefault="00B73390" w:rsidP="00B73390">
      <w:pPr>
        <w:spacing w:before="111" w:line="278" w:lineRule="auto"/>
        <w:ind w:left="188" w:right="40"/>
      </w:pPr>
      <w:r>
        <w:br w:type="column"/>
      </w:r>
    </w:p>
    <w:p w:rsidR="008443D8" w:rsidRDefault="008443D8">
      <w:pPr>
        <w:sectPr w:rsidR="008443D8">
          <w:type w:val="continuous"/>
          <w:pgSz w:w="11880" w:h="15840"/>
          <w:pgMar w:top="580" w:right="660" w:bottom="280" w:left="660" w:gutter="0"/>
          <w:cols w:num="2" w:equalWidth="0">
            <w:col w:w="5220" w:space="54"/>
            <w:col w:w="5286"/>
          </w:cols>
        </w:sectPr>
      </w:pPr>
    </w:p>
    <w:p w:rsidR="008443D8" w:rsidRDefault="008443D8">
      <w:pPr>
        <w:pStyle w:val="BodyText"/>
        <w:spacing w:before="11"/>
        <w:rPr>
          <w:sz w:val="21"/>
        </w:rPr>
      </w:pPr>
    </w:p>
    <w:p w:rsidR="008443D8" w:rsidRDefault="008443D8">
      <w:pPr>
        <w:rPr>
          <w:sz w:val="21"/>
        </w:rPr>
        <w:sectPr w:rsidR="008443D8">
          <w:pgSz w:w="11880" w:h="15840"/>
          <w:pgMar w:top="900" w:right="660" w:bottom="280" w:left="660" w:header="699" w:footer="0" w:gutter="0"/>
        </w:sectPr>
      </w:pPr>
    </w:p>
    <w:p w:rsidR="00C11E86" w:rsidRPr="00C11E86" w:rsidRDefault="00C11E86" w:rsidP="00C11E86">
      <w:pPr>
        <w:shd w:val="clear" w:color="auto" w:fill="FFFFFF"/>
        <w:spacing w:line="402" w:lineRule="atLeast"/>
        <w:textAlignment w:val="baseline"/>
        <w:rPr>
          <w:rFonts w:ascii="Helvetica" w:eastAsiaTheme="minorHAnsi" w:hAnsi="Helvetica" w:cstheme="minorBidi"/>
          <w:color w:val="333333"/>
          <w:sz w:val="30"/>
          <w:szCs w:val="30"/>
        </w:rPr>
      </w:pPr>
      <w:bookmarkStart w:id="4" w:name="Toward_a_more_comprehensive_theory_of_se"/>
      <w:bookmarkEnd w:id="4"/>
      <w:r w:rsidRPr="00C11E86">
        <w:rPr>
          <w:rFonts w:ascii="Helvetica" w:eastAsiaTheme="minorHAnsi" w:hAnsi="Helvetica" w:cstheme="minorBidi"/>
          <w:color w:val="333333"/>
          <w:sz w:val="30"/>
          <w:szCs w:val="30"/>
        </w:rPr>
        <w:t>References</w:t>
      </w:r>
    </w:p>
    <w:p w:rsidR="00C11E86" w:rsidRPr="00C11E86" w:rsidRDefault="00A63B8F" w:rsidP="00C11E86">
      <w:pPr>
        <w:shd w:val="clear" w:color="auto" w:fill="FFFFFF"/>
        <w:ind w:left="720"/>
        <w:textAlignment w:val="baseline"/>
        <w:rPr>
          <w:rFonts w:ascii="inherit" w:eastAsiaTheme="minorHAnsi" w:hAnsi="inherit" w:cstheme="minorBidi"/>
          <w:color w:val="595959"/>
          <w:sz w:val="27"/>
          <w:szCs w:val="27"/>
          <w:bdr w:val="none" w:sz="0" w:space="0" w:color="auto" w:frame="1"/>
        </w:rPr>
      </w:pPr>
      <w:r w:rsidRPr="00C11E86">
        <w:rPr>
          <w:rFonts w:ascii="inherit" w:eastAsiaTheme="minorHAnsi" w:hAnsi="inherit" w:cstheme="minorBidi"/>
          <w:color w:val="333333"/>
          <w:sz w:val="27"/>
          <w:szCs w:val="27"/>
        </w:rPr>
        <w:fldChar w:fldCharType="begin"/>
      </w:r>
      <w:r w:rsidR="00C11E86" w:rsidRPr="00C11E86">
        <w:rPr>
          <w:rFonts w:ascii="inherit" w:eastAsiaTheme="minorHAnsi" w:hAnsi="inherit" w:cstheme="minorBidi"/>
          <w:color w:val="333333"/>
          <w:sz w:val="27"/>
          <w:szCs w:val="27"/>
        </w:rPr>
        <w:instrText xml:space="preserve"> HYPERLINK "https://www.cambridge.org/core/journals/behavioral-and-brain-sciences/article/analytic-utility-of-distinguishing-fighting-from-dying/8B8A303D79D0B7D7967304B14894B7DC" \l "references" </w:instrText>
      </w:r>
      <w:r w:rsidRPr="00C11E86">
        <w:rPr>
          <w:rFonts w:ascii="inherit" w:eastAsiaTheme="minorHAnsi" w:hAnsi="inherit" w:cstheme="minorBidi"/>
          <w:color w:val="333333"/>
          <w:sz w:val="27"/>
          <w:szCs w:val="27"/>
        </w:rPr>
        <w:fldChar w:fldCharType="separate"/>
      </w:r>
    </w:p>
    <w:p w:rsidR="00C11E86" w:rsidRPr="00C11E86" w:rsidRDefault="00A63B8F" w:rsidP="00C11E86">
      <w:pPr>
        <w:shd w:val="clear" w:color="auto" w:fill="FFFFFF"/>
        <w:ind w:left="720"/>
        <w:textAlignment w:val="baseline"/>
        <w:rPr>
          <w:rFonts w:ascii="inherit" w:eastAsiaTheme="minorHAnsi" w:hAnsi="inherit" w:cstheme="minorBidi"/>
          <w:color w:val="333333"/>
          <w:sz w:val="27"/>
          <w:szCs w:val="27"/>
        </w:rPr>
      </w:pPr>
      <w:r w:rsidRPr="00C11E86">
        <w:rPr>
          <w:rFonts w:ascii="inherit" w:eastAsiaTheme="minorHAnsi" w:hAnsi="inherit" w:cstheme="minorBidi"/>
          <w:color w:val="333333"/>
          <w:sz w:val="27"/>
          <w:szCs w:val="27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Atran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>, S. &amp; </w:t>
      </w: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Norenzayan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 xml:space="preserve">, A. (2004) Religion's evolutionary landscape: </w:t>
      </w: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Counterintuition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 xml:space="preserve">, commitment, compassion, </w:t>
      </w:r>
      <w:proofErr w:type="gramStart"/>
      <w:r w:rsidRPr="00C11E86">
        <w:rPr>
          <w:rFonts w:ascii="inherit" w:eastAsiaTheme="minorHAnsi" w:hAnsi="inherit" w:cstheme="minorBidi"/>
          <w:color w:val="333333"/>
          <w:sz w:val="21"/>
        </w:rPr>
        <w:t>communion</w:t>
      </w:r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>. </w:t>
      </w:r>
      <w:proofErr w:type="gramStart"/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Behavioral and Brain Sciences</w:t>
      </w:r>
      <w:r w:rsidRPr="00C11E86">
        <w:rPr>
          <w:rFonts w:ascii="inherit" w:eastAsiaTheme="minorHAnsi" w:hAnsi="inherit" w:cstheme="minorBidi"/>
          <w:color w:val="333333"/>
          <w:sz w:val="21"/>
        </w:rPr>
        <w:t> </w:t>
      </w:r>
      <w:r w:rsidRPr="00C11E86">
        <w:rPr>
          <w:rFonts w:ascii="inherit" w:eastAsiaTheme="minorHAnsi" w:hAnsi="inherit" w:cstheme="minorBidi"/>
          <w:b/>
          <w:bCs/>
          <w:color w:val="333333"/>
          <w:sz w:val="21"/>
        </w:rPr>
        <w:t>27</w:t>
      </w:r>
      <w:r w:rsidRPr="00C11E86">
        <w:rPr>
          <w:rFonts w:ascii="inherit" w:eastAsiaTheme="minorHAnsi" w:hAnsi="inherit" w:cstheme="minorBidi"/>
          <w:color w:val="333333"/>
          <w:sz w:val="21"/>
        </w:rPr>
        <w:t>:713–70.</w:t>
      </w:r>
      <w:proofErr w:type="gramEnd"/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"http://dx.doi.org/10.1017/S0140525X04000172"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00FF"/>
          <w:sz w:val="21"/>
          <w:u w:val="single"/>
        </w:rPr>
        <w:t>CrossRef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  <w:r w:rsidRPr="00C11E86">
        <w:rPr>
          <w:rFonts w:ascii="inherit" w:eastAsiaTheme="minorHAnsi" w:hAnsi="inherit" w:cstheme="minorBidi"/>
          <w:color w:val="333333"/>
          <w:sz w:val="21"/>
        </w:rPr>
        <w:t> | 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_lookup?title=Religion%27s+evolutionary+landscape:+Counterintuition+commitment+compassion+communion&amp;publication+year=2004&amp;author=Atran+S.&amp;author=Norenzayan+A.&amp;journal=Behavioral+and+Brain+Sciences&amp;volume=27&amp;doi=10.1017/S0140525X04000172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  <w:r w:rsidRPr="00C11E86">
        <w:rPr>
          <w:rFonts w:ascii="inherit" w:eastAsiaTheme="minorHAnsi" w:hAnsi="inherit" w:cstheme="minorBidi"/>
          <w:color w:val="333333"/>
          <w:sz w:val="21"/>
        </w:rPr>
        <w:t> | 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"https://www.ncbi.nlm.nih.gov/pubmed/16035401"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proofErr w:type="spellStart"/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PubMed</w:t>
      </w:r>
      <w:proofErr w:type="spellEnd"/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Da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 xml:space="preserve"> Silva, C. (2018, April 3) Israel green-lighted ‘unlawful’ killing of unarmed Gaza protesters, says Human Rights Watch. </w:t>
      </w:r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Newsweek</w:t>
      </w:r>
      <w:r w:rsidRPr="00C11E86">
        <w:rPr>
          <w:rFonts w:ascii="inherit" w:eastAsiaTheme="minorHAnsi" w:hAnsi="inherit" w:cstheme="minorBidi"/>
          <w:color w:val="333333"/>
          <w:sz w:val="21"/>
        </w:rPr>
        <w:t>. Available at: </w:t>
      </w:r>
      <w:hyperlink r:id="rId10" w:history="1">
        <w:r w:rsidRPr="00C11E86">
          <w:rPr>
            <w:rFonts w:ascii="inherit" w:eastAsiaTheme="minorHAnsi" w:hAnsi="inherit" w:cstheme="minorBidi"/>
            <w:color w:val="0072CF"/>
            <w:sz w:val="21"/>
            <w:u w:val="single"/>
          </w:rPr>
          <w:t>http://www.newsweek.com/israel-green-lighted-unlawful-killing-unarmed-gaza-protesters-says-human-869588</w:t>
        </w:r>
      </w:hyperlink>
      <w:r w:rsidRPr="00C11E86">
        <w:rPr>
          <w:rFonts w:ascii="inherit" w:eastAsiaTheme="minorHAnsi" w:hAnsi="inherit" w:cstheme="minorBidi"/>
          <w:color w:val="333333"/>
          <w:sz w:val="21"/>
        </w:rPr>
        <w:t>.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?q=Da+Silva+C.+(2018+April+3)+Israel+green-lighted+%E2%80%98unlawful%E2%80%99+killing+of+unarmed+Gaza+protesters+says+Human+Rights+Watch.+Newsweek.+Available+at:+http://www.newsweek.com/israel-green-lighted-unlawful-killing-unarmed-gaza-protesters-says-human-869588.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r w:rsidRPr="00C11E86">
        <w:rPr>
          <w:rFonts w:ascii="inherit" w:eastAsiaTheme="minorHAnsi" w:hAnsi="inherit" w:cstheme="minorBidi"/>
          <w:color w:val="333333"/>
          <w:sz w:val="21"/>
        </w:rPr>
        <w:t>Doughty, K. &amp; </w:t>
      </w: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Ntambara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>, </w:t>
      </w:r>
      <w:proofErr w:type="gramStart"/>
      <w:r w:rsidRPr="00C11E86">
        <w:rPr>
          <w:rFonts w:ascii="inherit" w:eastAsiaTheme="minorHAnsi" w:hAnsi="inherit" w:cstheme="minorBidi"/>
          <w:color w:val="333333"/>
          <w:sz w:val="21"/>
        </w:rPr>
        <w:t>D. M.</w:t>
      </w:r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> (2005) Resistance and protection: Muslim community actions during the Rwandan genocide. </w:t>
      </w:r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CDA Collaborative Learning Projects</w:t>
      </w:r>
      <w:r w:rsidRPr="00C11E86">
        <w:rPr>
          <w:rFonts w:ascii="inherit" w:eastAsiaTheme="minorHAnsi" w:hAnsi="inherit" w:cstheme="minorBidi"/>
          <w:color w:val="333333"/>
          <w:sz w:val="21"/>
        </w:rPr>
        <w:t> Available at:</w:t>
      </w:r>
      <w:hyperlink r:id="rId11" w:history="1">
        <w:r w:rsidRPr="00C11E86">
          <w:rPr>
            <w:rFonts w:ascii="inherit" w:eastAsiaTheme="minorHAnsi" w:hAnsi="inherit" w:cstheme="minorBidi"/>
            <w:color w:val="0072CF"/>
            <w:sz w:val="21"/>
            <w:u w:val="single"/>
          </w:rPr>
          <w:t>www.cdainc.com/cdawww/pdf/casestudy/steps_rwanda_case_study_Pdf.pdf</w:t>
        </w:r>
      </w:hyperlink>
      <w:r w:rsidRPr="00C11E86">
        <w:rPr>
          <w:rFonts w:ascii="inherit" w:eastAsiaTheme="minorHAnsi" w:hAnsi="inherit" w:cstheme="minorBidi"/>
          <w:color w:val="333333"/>
          <w:sz w:val="21"/>
        </w:rPr>
        <w:t>.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"https://scholar.google.com/scholar_lookup?title=Resistance+and+protection:+Muslim+community+actions+during+the+Rwandan+genocide&amp;publication+year=2005&amp;author=Doughty+K.&amp;author=Ntambara+D.+M.&amp;journal=CDA+Collaborative+Learning+Projects"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Easwaran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>, E. (1999) </w:t>
      </w:r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 xml:space="preserve">Nonviolent soldier of Islam: </w:t>
      </w:r>
      <w:proofErr w:type="spellStart"/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Badshah</w:t>
      </w:r>
      <w:proofErr w:type="spellEnd"/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 xml:space="preserve"> Khan, a man to match his mountains</w:t>
      </w:r>
      <w:r w:rsidRPr="00C11E86">
        <w:rPr>
          <w:rFonts w:ascii="inherit" w:eastAsiaTheme="minorHAnsi" w:hAnsi="inherit" w:cstheme="minorBidi"/>
          <w:color w:val="333333"/>
          <w:sz w:val="21"/>
        </w:rPr>
        <w:t xml:space="preserve">. Blue Mountain Center of </w:t>
      </w: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Meditation.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"https://scholar.google.com/scholar_lookup?title=Nonviolent+soldier+of+Islam:+Badshah+Khan+a+man+to+match+his+mountains&amp;publication+year=1999&amp;author=Easwaran+E."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</w:t>
      </w:r>
      <w:proofErr w:type="spellEnd"/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 xml:space="preserve">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Enemark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>, C. (2017, October 5) Drones, risk, and moral injury. </w:t>
      </w:r>
      <w:proofErr w:type="gramStart"/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Critical Military Studies</w:t>
      </w:r>
      <w:r w:rsidRPr="00C11E86">
        <w:rPr>
          <w:rFonts w:ascii="inherit" w:eastAsiaTheme="minorHAnsi" w:hAnsi="inherit" w:cstheme="minorBidi"/>
          <w:color w:val="333333"/>
          <w:sz w:val="21"/>
        </w:rPr>
        <w:t>.</w:t>
      </w:r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 xml:space="preserve"> </w:t>
      </w:r>
      <w:proofErr w:type="gramStart"/>
      <w:r w:rsidRPr="00C11E86">
        <w:rPr>
          <w:rFonts w:ascii="inherit" w:eastAsiaTheme="minorHAnsi" w:hAnsi="inherit" w:cstheme="minorBidi"/>
          <w:color w:val="333333"/>
          <w:sz w:val="21"/>
        </w:rPr>
        <w:t>doi:10.1080</w:t>
      </w:r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>/23337486.2017.1384979.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"http://dx.doi.org/10.1080/23337486.2017.1384979"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00FF"/>
          <w:sz w:val="21"/>
          <w:u w:val="single"/>
        </w:rPr>
        <w:t>CrossRef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  <w:r w:rsidRPr="00C11E86">
        <w:rPr>
          <w:rFonts w:ascii="inherit" w:eastAsiaTheme="minorHAnsi" w:hAnsi="inherit" w:cstheme="minorBidi"/>
          <w:color w:val="333333"/>
          <w:sz w:val="21"/>
        </w:rPr>
        <w:t> | 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"https://scholar.google.com/scholar_lookup?title=Drones+risk+and+moral+injury&amp;publication+year=2017&amp;author=Enemark+C.&amp;journal=Critical+Military+Studies&amp;doi=10.1080/23337486.2017.1384979"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r w:rsidRPr="00C11E86">
        <w:rPr>
          <w:rFonts w:ascii="inherit" w:eastAsiaTheme="minorHAnsi" w:hAnsi="inherit" w:cstheme="minorBidi"/>
          <w:color w:val="333333"/>
          <w:sz w:val="21"/>
        </w:rPr>
        <w:t>Farrell, B. (2011, January 19) Tunisia emerges unarmed and victorious. </w:t>
      </w:r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Waging nonviolence</w:t>
      </w:r>
      <w:r w:rsidRPr="00C11E86">
        <w:rPr>
          <w:rFonts w:ascii="inherit" w:eastAsiaTheme="minorHAnsi" w:hAnsi="inherit" w:cstheme="minorBidi"/>
          <w:color w:val="333333"/>
          <w:sz w:val="21"/>
        </w:rPr>
        <w:t>. Available at:</w:t>
      </w:r>
      <w:hyperlink r:id="rId12" w:history="1">
        <w:r w:rsidRPr="00C11E86">
          <w:rPr>
            <w:rFonts w:ascii="inherit" w:eastAsiaTheme="minorHAnsi" w:hAnsi="inherit" w:cstheme="minorBidi"/>
            <w:color w:val="0072CF"/>
            <w:sz w:val="21"/>
            <w:u w:val="single"/>
          </w:rPr>
          <w:t>https://wagingnonviolence.org/feature/tunisia-emerges-victorious-and-unarmed/</w:t>
        </w:r>
      </w:hyperlink>
      <w:r w:rsidRPr="00C11E86">
        <w:rPr>
          <w:rFonts w:ascii="inherit" w:eastAsiaTheme="minorHAnsi" w:hAnsi="inherit" w:cstheme="minorBidi"/>
          <w:color w:val="333333"/>
          <w:sz w:val="21"/>
        </w:rPr>
        <w:t>.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"https://scholar.google.com/scholar?q=Farrell+B.+(2011+January+19)+Tunisia+emerges+unarmed+and+victorious.+Waging+nonviolence.+Available+at:+https://wagingnonviolence.org/feature/tunisia-emerges-victorious-and-unarmed/."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proofErr w:type="spellStart"/>
      <w:proofErr w:type="gramStart"/>
      <w:r w:rsidRPr="00C11E86">
        <w:rPr>
          <w:rFonts w:ascii="inherit" w:eastAsiaTheme="minorHAnsi" w:hAnsi="inherit" w:cstheme="minorBidi"/>
          <w:color w:val="333333"/>
          <w:sz w:val="21"/>
        </w:rPr>
        <w:t>Ginges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>, J., Hansen, I. G. &amp; </w:t>
      </w: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Norenzayan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>, A. (2009) Religion and support for suicide attacks.</w:t>
      </w:r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> </w:t>
      </w:r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 xml:space="preserve">Psychological </w:t>
      </w:r>
      <w:proofErr w:type="gramStart"/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Science</w:t>
      </w:r>
      <w:r w:rsidRPr="00C11E86">
        <w:rPr>
          <w:rFonts w:ascii="inherit" w:eastAsiaTheme="minorHAnsi" w:hAnsi="inherit" w:cstheme="minorBidi"/>
          <w:b/>
          <w:bCs/>
          <w:color w:val="333333"/>
          <w:sz w:val="21"/>
        </w:rPr>
        <w:t>20</w:t>
      </w:r>
      <w:r w:rsidRPr="00C11E86">
        <w:rPr>
          <w:rFonts w:ascii="inherit" w:eastAsiaTheme="minorHAnsi" w:hAnsi="inherit" w:cstheme="minorBidi"/>
          <w:color w:val="333333"/>
          <w:sz w:val="21"/>
        </w:rPr>
        <w:t>(</w:t>
      </w:r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>2):224–30.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"http://dx.doi.org/10.1111/j.1467-9280.2009.02270.x"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00FF"/>
          <w:sz w:val="21"/>
          <w:u w:val="single"/>
        </w:rPr>
        <w:t>CrossRef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  <w:r w:rsidRPr="00C11E86">
        <w:rPr>
          <w:rFonts w:ascii="inherit" w:eastAsiaTheme="minorHAnsi" w:hAnsi="inherit" w:cstheme="minorBidi"/>
          <w:color w:val="333333"/>
          <w:sz w:val="21"/>
        </w:rPr>
        <w:t> | 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"https://scholar.google.com/scholar_lookup?title=Religion+and+support+for+suicide+attacks&amp;publication+year=2009&amp;author=Ginges+J.&amp;author=Hansen+I.+G.&amp;author=Norenzayan+A.&amp;journal=Psychological+Science&amp;volume=20&amp;doi=10.1111/j.1467-9280.2009.02270.x"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  <w:r w:rsidRPr="00C11E86">
        <w:rPr>
          <w:rFonts w:ascii="inherit" w:eastAsiaTheme="minorHAnsi" w:hAnsi="inherit" w:cstheme="minorBidi"/>
          <w:color w:val="333333"/>
          <w:sz w:val="21"/>
        </w:rPr>
        <w:t> | 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"https://www.ncbi.nlm.nih.gov/pubmed/19170938"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proofErr w:type="spellStart"/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PubMed</w:t>
      </w:r>
      <w:proofErr w:type="spellEnd"/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proofErr w:type="gramStart"/>
      <w:r w:rsidRPr="00C11E86">
        <w:rPr>
          <w:rFonts w:ascii="inherit" w:eastAsiaTheme="minorHAnsi" w:hAnsi="inherit" w:cstheme="minorBidi"/>
          <w:color w:val="333333"/>
          <w:sz w:val="21"/>
        </w:rPr>
        <w:t xml:space="preserve">Hansen, I. G. (in preparation) Religion and </w:t>
      </w: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resistance.</w:t>
      </w:r>
      <w:proofErr w:type="gramEnd"/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"https://scholar.google.com/scholar?q=Hansen+I.+G.+(in+preparation)+Religion+and+resistance."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</w:t>
      </w:r>
      <w:proofErr w:type="spellEnd"/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 xml:space="preserve">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r w:rsidRPr="00C11E86">
        <w:rPr>
          <w:rFonts w:ascii="inherit" w:eastAsiaTheme="minorHAnsi" w:hAnsi="inherit" w:cstheme="minorBidi"/>
          <w:color w:val="333333"/>
          <w:sz w:val="21"/>
        </w:rPr>
        <w:t>Hansen, I. G., Jackson, V. W. Y. &amp; Ryder, A. (2018) Religion and oppression: Cross-national and experimental investigations. </w:t>
      </w:r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Religion, Brain and Behavior</w:t>
      </w:r>
      <w:r w:rsidRPr="00C11E86">
        <w:rPr>
          <w:rFonts w:ascii="inherit" w:eastAsiaTheme="minorHAnsi" w:hAnsi="inherit" w:cstheme="minorBidi"/>
          <w:color w:val="333333"/>
          <w:sz w:val="21"/>
        </w:rPr>
        <w:t> </w:t>
      </w:r>
      <w:r w:rsidRPr="00C11E86">
        <w:rPr>
          <w:rFonts w:ascii="inherit" w:eastAsiaTheme="minorHAnsi" w:hAnsi="inherit" w:cstheme="minorBidi"/>
          <w:b/>
          <w:bCs/>
          <w:color w:val="333333"/>
          <w:sz w:val="21"/>
        </w:rPr>
        <w:t>18</w:t>
      </w:r>
      <w:r w:rsidRPr="00C11E86">
        <w:rPr>
          <w:rFonts w:ascii="inherit" w:eastAsiaTheme="minorHAnsi" w:hAnsi="inherit" w:cstheme="minorBidi"/>
          <w:color w:val="333333"/>
          <w:sz w:val="21"/>
        </w:rPr>
        <w:t>(4)</w:t>
      </w:r>
      <w:proofErr w:type="gramStart"/>
      <w:r w:rsidRPr="00C11E86">
        <w:rPr>
          <w:rFonts w:ascii="inherit" w:eastAsiaTheme="minorHAnsi" w:hAnsi="inherit" w:cstheme="minorBidi"/>
          <w:color w:val="333333"/>
          <w:sz w:val="21"/>
        </w:rPr>
        <w:t>:369</w:t>
      </w:r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 xml:space="preserve">–93. </w:t>
      </w:r>
      <w:proofErr w:type="spellStart"/>
      <w:proofErr w:type="gramStart"/>
      <w:r w:rsidRPr="00C11E86">
        <w:rPr>
          <w:rFonts w:ascii="inherit" w:eastAsiaTheme="minorHAnsi" w:hAnsi="inherit" w:cstheme="minorBidi"/>
          <w:color w:val="333333"/>
          <w:sz w:val="21"/>
        </w:rPr>
        <w:t>doi</w:t>
      </w:r>
      <w:proofErr w:type="spellEnd"/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>: </w:t>
      </w:r>
      <w:hyperlink r:id="rId13" w:history="1">
        <w:r w:rsidRPr="00C11E86">
          <w:rPr>
            <w:rFonts w:ascii="inherit" w:eastAsiaTheme="minorHAnsi" w:hAnsi="inherit" w:cstheme="minorBidi"/>
            <w:color w:val="0072CF"/>
            <w:sz w:val="21"/>
            <w:u w:val="single"/>
          </w:rPr>
          <w:t>https://doi.org/10.1080/2153599X.2017.1358208</w:t>
        </w:r>
      </w:hyperlink>
      <w:r w:rsidRPr="00C11E86">
        <w:rPr>
          <w:rFonts w:ascii="inherit" w:eastAsiaTheme="minorHAnsi" w:hAnsi="inherit" w:cstheme="minorBidi"/>
          <w:color w:val="333333"/>
          <w:sz w:val="21"/>
        </w:rPr>
        <w:t>.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"http://dx.doi.org/10.1080/2153599X.2017.1358208"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00FF"/>
          <w:sz w:val="21"/>
          <w:u w:val="single"/>
        </w:rPr>
        <w:t>CrossRef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  <w:r w:rsidRPr="00C11E86">
        <w:rPr>
          <w:rFonts w:ascii="inherit" w:eastAsiaTheme="minorHAnsi" w:hAnsi="inherit" w:cstheme="minorBidi"/>
          <w:color w:val="333333"/>
          <w:sz w:val="21"/>
        </w:rPr>
        <w:t> | 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_lookup?title=Religion+and+oppression:+Cross-national+and+experimental+investigations&amp;publication+year=2018&amp;author=Hansen+I.+G.&amp;author=Jackson+V.+W.+Y.&amp;author=Ryder+A.&amp;journal=Religion+Brain+and+Behavior&amp;volume=18&amp;doi=10.1080/2153599X.2017.1358208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r w:rsidRPr="00C11E86">
        <w:rPr>
          <w:rFonts w:ascii="inherit" w:eastAsiaTheme="minorHAnsi" w:hAnsi="inherit" w:cstheme="minorBidi"/>
          <w:color w:val="333333"/>
          <w:sz w:val="21"/>
        </w:rPr>
        <w:t>Hansen, I. G. &amp; Ryder, A. (2016) In search of “religion proper”: Intrinsic religiosity and coalitional rigidity make opposing predictions of intergroup hostility across religious groups. </w:t>
      </w:r>
      <w:proofErr w:type="gramStart"/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Journal of Cross-Cultural Psychology</w:t>
      </w:r>
      <w:r w:rsidRPr="00C11E86">
        <w:rPr>
          <w:rFonts w:ascii="inherit" w:eastAsiaTheme="minorHAnsi" w:hAnsi="inherit" w:cstheme="minorBidi"/>
          <w:color w:val="333333"/>
          <w:sz w:val="21"/>
        </w:rPr>
        <w:t> </w:t>
      </w:r>
      <w:r w:rsidRPr="00C11E86">
        <w:rPr>
          <w:rFonts w:ascii="inherit" w:eastAsiaTheme="minorHAnsi" w:hAnsi="inherit" w:cstheme="minorBidi"/>
          <w:b/>
          <w:bCs/>
          <w:color w:val="333333"/>
          <w:sz w:val="21"/>
        </w:rPr>
        <w:t>47</w:t>
      </w:r>
      <w:r w:rsidRPr="00C11E86">
        <w:rPr>
          <w:rFonts w:ascii="inherit" w:eastAsiaTheme="minorHAnsi" w:hAnsi="inherit" w:cstheme="minorBidi"/>
          <w:color w:val="333333"/>
          <w:sz w:val="21"/>
        </w:rPr>
        <w:t>:835–57.</w:t>
      </w:r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 xml:space="preserve"> </w:t>
      </w:r>
      <w:proofErr w:type="spellStart"/>
      <w:proofErr w:type="gramStart"/>
      <w:r w:rsidRPr="00C11E86">
        <w:rPr>
          <w:rFonts w:ascii="inherit" w:eastAsiaTheme="minorHAnsi" w:hAnsi="inherit" w:cstheme="minorBidi"/>
          <w:color w:val="333333"/>
          <w:sz w:val="21"/>
        </w:rPr>
        <w:t>doi</w:t>
      </w:r>
      <w:proofErr w:type="spellEnd"/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>: </w:t>
      </w:r>
      <w:hyperlink r:id="rId14" w:history="1">
        <w:r w:rsidRPr="00C11E86">
          <w:rPr>
            <w:rFonts w:ascii="inherit" w:eastAsiaTheme="minorHAnsi" w:hAnsi="inherit" w:cstheme="minorBidi"/>
            <w:color w:val="0072CF"/>
            <w:sz w:val="21"/>
            <w:u w:val="single"/>
          </w:rPr>
          <w:t>https://doi.org/10.1177/0022022116644983</w:t>
        </w:r>
      </w:hyperlink>
      <w:r w:rsidRPr="00C11E86">
        <w:rPr>
          <w:rFonts w:ascii="inherit" w:eastAsiaTheme="minorHAnsi" w:hAnsi="inherit" w:cstheme="minorBidi"/>
          <w:color w:val="333333"/>
          <w:sz w:val="21"/>
        </w:rPr>
        <w:t>.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"http://dx.doi.org/10.1177/0022022116644983"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00FF"/>
          <w:sz w:val="21"/>
          <w:u w:val="single"/>
        </w:rPr>
        <w:t>CrossRef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  <w:r w:rsidRPr="00C11E86">
        <w:rPr>
          <w:rFonts w:ascii="inherit" w:eastAsiaTheme="minorHAnsi" w:hAnsi="inherit" w:cstheme="minorBidi"/>
          <w:color w:val="333333"/>
          <w:sz w:val="21"/>
        </w:rPr>
        <w:t> | 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_lookup?title=In+search+of+%E2%80%9Creligion+proper%E2%80%9D:+Intrinsic+religiosity+and+coalitional+rigidity+make+opposing+predictions+of+intergroup+hostility+across+religious+groups&amp;publication+year=2016&amp;author=Hansen+I.+G.&amp;author=Ryder+A.&amp;journal=Journal+of+Cross-Cultural+Psychology&amp;volume=47&amp;doi=10.1177/0022022116644983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Liphshiz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 xml:space="preserve">, C. (2018, January 19) </w:t>
      </w:r>
      <w:proofErr w:type="gramStart"/>
      <w:r w:rsidRPr="00C11E86">
        <w:rPr>
          <w:rFonts w:ascii="inherit" w:eastAsiaTheme="minorHAnsi" w:hAnsi="inherit" w:cstheme="minorBidi"/>
          <w:color w:val="333333"/>
          <w:sz w:val="21"/>
        </w:rPr>
        <w:t>What</w:t>
      </w:r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 xml:space="preserve"> made Muslim Albanians risk their lives to save Jews from the Holocaust? </w:t>
      </w:r>
      <w:proofErr w:type="gramStart"/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The Times of Israel.</w:t>
      </w:r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> Available at: </w:t>
      </w:r>
      <w:hyperlink r:id="rId15" w:history="1">
        <w:r w:rsidRPr="00C11E86">
          <w:rPr>
            <w:rFonts w:ascii="inherit" w:eastAsiaTheme="minorHAnsi" w:hAnsi="inherit" w:cstheme="minorBidi"/>
            <w:color w:val="0072CF"/>
            <w:sz w:val="21"/>
            <w:u w:val="single"/>
          </w:rPr>
          <w:t>https://www.timesofisrael.com/what-made-muslim-albanians-risk-their-lives-to-save-jews-from-the-holocaust/</w:t>
        </w:r>
      </w:hyperlink>
      <w:r w:rsidRPr="00C11E86">
        <w:rPr>
          <w:rFonts w:ascii="inherit" w:eastAsiaTheme="minorHAnsi" w:hAnsi="inherit" w:cstheme="minorBidi"/>
          <w:color w:val="333333"/>
          <w:sz w:val="21"/>
        </w:rPr>
        <w:t>.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?q=Liphshiz+C.+(2018+January+19)+What+made+Muslim+Albanians+risk+their+lives+to+save+Jews+from+the+Holocaust?+The+Times+of+Israel.+Available+at:+https://www.timesofisrael.com/what-made-muslim-albanians-risk-their-lives-to-save-jews-from-the-holocaust/.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Lusher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>, A. (2017, December 23) At least 10,000 people died in Tiananmen Square Massacre, secret British cable from the time alleged. </w:t>
      </w:r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The Independent</w:t>
      </w:r>
      <w:r w:rsidRPr="00C11E86">
        <w:rPr>
          <w:rFonts w:ascii="inherit" w:eastAsiaTheme="minorHAnsi" w:hAnsi="inherit" w:cstheme="minorBidi"/>
          <w:color w:val="333333"/>
          <w:sz w:val="21"/>
        </w:rPr>
        <w:t>. Available at:</w:t>
      </w:r>
      <w:hyperlink r:id="rId16" w:history="1">
        <w:r w:rsidRPr="00C11E86">
          <w:rPr>
            <w:rFonts w:ascii="inherit" w:eastAsiaTheme="minorHAnsi" w:hAnsi="inherit" w:cstheme="minorBidi"/>
            <w:color w:val="0072CF"/>
            <w:sz w:val="21"/>
            <w:u w:val="single"/>
          </w:rPr>
          <w:t>https://www.independent.co.uk/news/world/asia/tiananmen-square-massacre-death-toll-secret-cable-british-ambassador-1989-alan-donald-a8126461.html</w:t>
        </w:r>
      </w:hyperlink>
      <w:r w:rsidRPr="00C11E86">
        <w:rPr>
          <w:rFonts w:ascii="inherit" w:eastAsiaTheme="minorHAnsi" w:hAnsi="inherit" w:cstheme="minorBidi"/>
          <w:color w:val="333333"/>
          <w:sz w:val="21"/>
        </w:rPr>
        <w:t>.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?q=Lusher+A.+(2017+December+23)+At+least+10+000+people+died+in+Tiananmen+Square+Massacre+secret+British+cable+from+the+time+alleged.+The+Independent.+Available+at:+https://www.independent.co.uk/news/world/asia/tiananmen-square-massacre-death-toll-secret-cable-british-ambassador-1989-alan-donald-a8126461.html.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proofErr w:type="spellStart"/>
      <w:proofErr w:type="gramStart"/>
      <w:r w:rsidRPr="00C11E86">
        <w:rPr>
          <w:rFonts w:ascii="inherit" w:eastAsiaTheme="minorHAnsi" w:hAnsi="inherit" w:cstheme="minorBidi"/>
          <w:color w:val="333333"/>
          <w:sz w:val="21"/>
        </w:rPr>
        <w:t>Ouellet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>, J. X. (2013) Women and religion in Liberia's peace and reconciliation.</w:t>
      </w:r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> </w:t>
      </w:r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Critical Intersections in Education</w:t>
      </w:r>
      <w:r w:rsidRPr="00C11E86">
        <w:rPr>
          <w:rFonts w:ascii="inherit" w:eastAsiaTheme="minorHAnsi" w:hAnsi="inherit" w:cstheme="minorBidi"/>
          <w:b/>
          <w:bCs/>
          <w:color w:val="333333"/>
          <w:sz w:val="21"/>
        </w:rPr>
        <w:t>1</w:t>
      </w:r>
      <w:proofErr w:type="gramStart"/>
      <w:r w:rsidRPr="00C11E86">
        <w:rPr>
          <w:rFonts w:ascii="inherit" w:eastAsiaTheme="minorHAnsi" w:hAnsi="inherit" w:cstheme="minorBidi"/>
          <w:color w:val="333333"/>
          <w:sz w:val="21"/>
        </w:rPr>
        <w:t>:12</w:t>
      </w:r>
      <w:proofErr w:type="gramEnd"/>
      <w:r w:rsidRPr="00C11E86">
        <w:rPr>
          <w:rFonts w:ascii="inherit" w:eastAsiaTheme="minorHAnsi" w:hAnsi="inherit" w:cstheme="minorBidi"/>
          <w:color w:val="333333"/>
          <w:sz w:val="21"/>
        </w:rPr>
        <w:t>–20. Available at: </w:t>
      </w:r>
      <w:hyperlink r:id="rId17" w:history="1">
        <w:r w:rsidRPr="00C11E86">
          <w:rPr>
            <w:rFonts w:ascii="inherit" w:eastAsiaTheme="minorHAnsi" w:hAnsi="inherit" w:cstheme="minorBidi"/>
            <w:color w:val="0072CF"/>
            <w:sz w:val="21"/>
            <w:u w:val="single"/>
          </w:rPr>
          <w:t>http://jps.library.utoronto.ca/index.php/cie/article/download/17063/16059</w:t>
        </w:r>
      </w:hyperlink>
      <w:r w:rsidRPr="00C11E86">
        <w:rPr>
          <w:rFonts w:ascii="inherit" w:eastAsiaTheme="minorHAnsi" w:hAnsi="inherit" w:cstheme="minorBidi"/>
          <w:color w:val="333333"/>
          <w:sz w:val="21"/>
        </w:rPr>
        <w:t>.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"https://scholar.google.com/scholar_lookup?title=Women+and+religion+in+Liberia%27s+peace+and+reconciliation&amp;publication+year=2013&amp;author=Ouellet+J.+X.&amp;journal=Critical+Intersections+in+Education&amp;volume=1&amp;pages=12-20"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Samaha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>, N. (2015, April 24) How Arabs reached out to Armenians amid 1915 massacre. </w:t>
      </w:r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 xml:space="preserve">Al </w:t>
      </w:r>
      <w:proofErr w:type="spellStart"/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Jazeera</w:t>
      </w:r>
      <w:proofErr w:type="spellEnd"/>
      <w:r w:rsidRPr="00C11E86">
        <w:rPr>
          <w:rFonts w:ascii="inherit" w:eastAsiaTheme="minorHAnsi" w:hAnsi="inherit" w:cstheme="minorBidi"/>
          <w:color w:val="333333"/>
          <w:sz w:val="21"/>
        </w:rPr>
        <w:t>. Available at:</w:t>
      </w:r>
      <w:hyperlink r:id="rId18" w:history="1">
        <w:r w:rsidRPr="00C11E86">
          <w:rPr>
            <w:rFonts w:ascii="inherit" w:eastAsiaTheme="minorHAnsi" w:hAnsi="inherit" w:cstheme="minorBidi"/>
            <w:color w:val="0072CF"/>
            <w:sz w:val="21"/>
            <w:u w:val="single"/>
          </w:rPr>
          <w:t>https://www.aljazeera.com/news/2015/04/arabs-reached-armenians-1915-massacre-150424102949363.html</w:t>
        </w:r>
      </w:hyperlink>
      <w:r w:rsidRPr="00C11E86">
        <w:rPr>
          <w:rFonts w:ascii="inherit" w:eastAsiaTheme="minorHAnsi" w:hAnsi="inherit" w:cstheme="minorBidi"/>
          <w:color w:val="333333"/>
          <w:sz w:val="21"/>
        </w:rPr>
        <w:t>.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"https://scholar.google.com/scholar?q=Samaha+N.+(2015+April+24)+How+Arabs+reached+out+to+Armenians+amid+1915+massacre.+Al+Jazeera.+Available+at:+https://www.aljazeera.com/news/2015/04/arabs-reached-armenians-1915-massacre-150424102949363.html."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C11E86" w:rsidRPr="00C11E86" w:rsidRDefault="00C11E86" w:rsidP="00C11E86">
      <w:pPr>
        <w:shd w:val="clear" w:color="auto" w:fill="FFFFFF"/>
        <w:ind w:left="720"/>
        <w:textAlignment w:val="baseline"/>
        <w:rPr>
          <w:rFonts w:ascii="Helvetica" w:eastAsiaTheme="minorHAnsi" w:hAnsi="Helvetica" w:cstheme="minorBidi"/>
          <w:color w:val="333333"/>
          <w:sz w:val="21"/>
          <w:szCs w:val="21"/>
        </w:rPr>
      </w:pPr>
      <w:r w:rsidRPr="00C11E86">
        <w:rPr>
          <w:rFonts w:ascii="inherit" w:eastAsiaTheme="minorHAnsi" w:hAnsi="inherit" w:cstheme="minorBidi"/>
          <w:color w:val="333333"/>
          <w:sz w:val="21"/>
        </w:rPr>
        <w:t xml:space="preserve">Schwartz, F. &amp; Jones, R. (2018, May 14) Scores killed as Palestinians protest U.S. embassy opening in </w:t>
      </w:r>
      <w:proofErr w:type="spellStart"/>
      <w:r w:rsidRPr="00C11E86">
        <w:rPr>
          <w:rFonts w:ascii="inherit" w:eastAsiaTheme="minorHAnsi" w:hAnsi="inherit" w:cstheme="minorBidi"/>
          <w:color w:val="333333"/>
          <w:sz w:val="21"/>
        </w:rPr>
        <w:t>Jerusalem.</w:t>
      </w:r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>Wall</w:t>
      </w:r>
      <w:proofErr w:type="spellEnd"/>
      <w:r w:rsidRPr="00C11E86">
        <w:rPr>
          <w:rFonts w:ascii="inherit" w:eastAsiaTheme="minorHAnsi" w:hAnsi="inherit" w:cstheme="minorBidi"/>
          <w:i/>
          <w:iCs/>
          <w:color w:val="333333"/>
          <w:sz w:val="21"/>
        </w:rPr>
        <w:t xml:space="preserve"> Street Journal.</w:t>
      </w:r>
      <w:r w:rsidRPr="00C11E86">
        <w:rPr>
          <w:rFonts w:ascii="inherit" w:eastAsiaTheme="minorHAnsi" w:hAnsi="inherit" w:cstheme="minorBidi"/>
          <w:color w:val="333333"/>
          <w:sz w:val="21"/>
        </w:rPr>
        <w:t> Available at: </w:t>
      </w:r>
      <w:hyperlink r:id="rId19" w:history="1">
        <w:r w:rsidRPr="00C11E86">
          <w:rPr>
            <w:rFonts w:ascii="inherit" w:eastAsiaTheme="minorHAnsi" w:hAnsi="inherit" w:cstheme="minorBidi"/>
            <w:color w:val="0072CF"/>
            <w:sz w:val="21"/>
            <w:u w:val="single"/>
          </w:rPr>
          <w:t>https://www.wsj.com/articles/at-least-16-palestinian-protesters-killed-as-u-s-opens-embassy-in-jerusalem-1526298531</w:t>
        </w:r>
      </w:hyperlink>
      <w:r w:rsidRPr="00C11E86">
        <w:rPr>
          <w:rFonts w:ascii="inherit" w:eastAsiaTheme="minorHAnsi" w:hAnsi="inherit" w:cstheme="minorBidi"/>
          <w:color w:val="333333"/>
          <w:sz w:val="21"/>
        </w:rPr>
        <w:t>.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begin"/>
      </w:r>
      <w:r w:rsidRPr="00C11E86">
        <w:rPr>
          <w:rFonts w:ascii="inherit" w:eastAsiaTheme="minorHAnsi" w:hAnsi="inherit" w:cstheme="minorBidi"/>
          <w:color w:val="333333"/>
          <w:sz w:val="21"/>
        </w:rPr>
        <w:instrText xml:space="preserve"> HYPERLINK "https://scholar.google.com/scholar?q=Schwartz+F.+&amp;+Jones+R.+(2018+May+14)+Scores+killed+as+Palestinians+protest+U.S.+embassy+opening+in+Jerusalem.+Wall+Street+Journal.+Available+at:+https://www.wsj.com/articles/at-least-16-palestinian-protesters-killed-as-u-s-opens-embassy-in-jerusalem-1526298531." \t "_blank" </w:instrTex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separate"/>
      </w:r>
      <w:r w:rsidRPr="00C11E86">
        <w:rPr>
          <w:rFonts w:ascii="inherit" w:eastAsiaTheme="minorHAnsi" w:hAnsi="inherit" w:cstheme="minorBidi"/>
          <w:color w:val="0072CF"/>
          <w:sz w:val="21"/>
          <w:u w:val="single"/>
        </w:rPr>
        <w:t>Google Scholar</w:t>
      </w:r>
      <w:r w:rsidR="00A63B8F" w:rsidRPr="00C11E86">
        <w:rPr>
          <w:rFonts w:ascii="inherit" w:eastAsiaTheme="minorHAnsi" w:hAnsi="inherit" w:cstheme="minorBidi"/>
          <w:color w:val="333333"/>
          <w:sz w:val="21"/>
        </w:rPr>
        <w:fldChar w:fldCharType="end"/>
      </w:r>
    </w:p>
    <w:p w:rsidR="008443D8" w:rsidRDefault="008443D8">
      <w:pPr>
        <w:spacing w:line="220" w:lineRule="auto"/>
        <w:ind w:left="289" w:right="188" w:hanging="181"/>
        <w:jc w:val="both"/>
        <w:rPr>
          <w:sz w:val="14"/>
          <w:lang w:eastAsia="zh-TW"/>
        </w:rPr>
      </w:pPr>
    </w:p>
    <w:sectPr w:rsidR="008443D8" w:rsidSect="008443D8">
      <w:headerReference w:type="even" r:id="rId20"/>
      <w:headerReference w:type="default" r:id="rId21"/>
      <w:type w:val="continuous"/>
      <w:pgSz w:w="11880" w:h="15840"/>
      <w:pgMar w:top="580" w:right="660" w:bottom="280" w:left="660" w:gutter="0"/>
      <w:cols w:num="2" w:equalWidth="0">
        <w:col w:w="5138" w:space="134"/>
        <w:col w:w="52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  <w:font w:name="Lucida Grande">
    <w:panose1 w:val="020B0803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4E" w:rsidRDefault="005B0C4E">
    <w:pPr>
      <w:pStyle w:val="BodyText"/>
      <w:spacing w:line="14" w:lineRule="auto"/>
      <w:rPr>
        <w:sz w:val="20"/>
      </w:rPr>
    </w:pPr>
    <w:r w:rsidRPr="00A63B8F"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6" type="#_x0000_t202" style="position:absolute;margin-left:37.65pt;margin-top:33.9pt;width:12.85pt;height:12.15pt;z-index:-111280;mso-position-horizontal-relative:page;mso-position-vertical-relative:page" filled="f" stroked="f">
          <v:textbox inset="0,0,0,0">
            <w:txbxContent>
              <w:p w:rsidR="005B0C4E" w:rsidRDefault="005B0C4E">
                <w:pPr>
                  <w:spacing w:before="8"/>
                  <w:ind w:left="4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5376D">
                  <w:rPr>
                    <w:rFonts w:ascii="Arial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A63B8F">
      <w:pict>
        <v:shape id="_x0000_s2055" type="#_x0000_t202" style="position:absolute;margin-left:181.15pt;margin-top:33.9pt;width:372.6pt;height:12.15pt;z-index:-111256;mso-position-horizontal-relative:page;mso-position-vertical-relative:page" filled="f" stroked="f">
          <v:textbox inset="0,0,0,0">
            <w:txbxContent>
              <w:p w:rsidR="005B0C4E" w:rsidRDefault="005B0C4E">
                <w:pPr>
                  <w:spacing w:before="6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Calibri"/>
                    <w:i/>
                    <w:sz w:val="18"/>
                  </w:rPr>
                  <w:t>Commentary</w:t>
                </w:r>
                <w:r>
                  <w:rPr>
                    <w:rFonts w:ascii="Arial"/>
                    <w:sz w:val="18"/>
                  </w:rPr>
                  <w:t>/Whitehouse: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Dying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for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the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group: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Towards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a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general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theory</w:t>
                </w:r>
                <w:r>
                  <w:rPr>
                    <w:rFonts w:ascii="Arial"/>
                    <w:spacing w:val="-24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of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extreme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self-sacrifice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4E" w:rsidRDefault="005B0C4E">
    <w:pPr>
      <w:pStyle w:val="BodyText"/>
      <w:spacing w:line="14" w:lineRule="auto"/>
      <w:rPr>
        <w:sz w:val="20"/>
      </w:rPr>
    </w:pPr>
    <w:r w:rsidRPr="00A63B8F"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4" type="#_x0000_t202" style="position:absolute;margin-left:41.5pt;margin-top:33.9pt;width:372.6pt;height:12.15pt;z-index:-111232;mso-position-horizontal-relative:page;mso-position-vertical-relative:page" filled="f" stroked="f">
          <v:textbox inset="0,0,0,0">
            <w:txbxContent>
              <w:p w:rsidR="005B0C4E" w:rsidRDefault="005B0C4E">
                <w:pPr>
                  <w:spacing w:before="6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Calibri"/>
                    <w:i/>
                    <w:sz w:val="18"/>
                  </w:rPr>
                  <w:t>Commentary</w:t>
                </w:r>
                <w:r>
                  <w:rPr>
                    <w:rFonts w:ascii="Arial"/>
                    <w:sz w:val="18"/>
                  </w:rPr>
                  <w:t>/Whitehouse: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Dying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for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the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group: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Towards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a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general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theory</w:t>
                </w:r>
                <w:r>
                  <w:rPr>
                    <w:rFonts w:ascii="Arial"/>
                    <w:spacing w:val="-24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of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extreme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self-sacrifice</w:t>
                </w:r>
              </w:p>
            </w:txbxContent>
          </v:textbox>
          <w10:wrap anchorx="page" anchory="page"/>
        </v:shape>
      </w:pict>
    </w:r>
    <w:r w:rsidRPr="00A63B8F">
      <w:pict>
        <v:shape id="_x0000_s2053" type="#_x0000_t202" style="position:absolute;margin-left:544.8pt;margin-top:33.9pt;width:12.85pt;height:12.15pt;z-index:-111208;mso-position-horizontal-relative:page;mso-position-vertical-relative:page" filled="f" stroked="f">
          <v:textbox inset="0,0,0,0">
            <w:txbxContent>
              <w:p w:rsidR="005B0C4E" w:rsidRDefault="005B0C4E">
                <w:pPr>
                  <w:spacing w:before="8"/>
                  <w:ind w:left="4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5376D">
                  <w:rPr>
                    <w:rFonts w:ascii="Arial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4E" w:rsidRDefault="005B0C4E">
    <w:pPr>
      <w:pStyle w:val="BodyText"/>
      <w:spacing w:line="14" w:lineRule="auto"/>
      <w:rPr>
        <w:sz w:val="20"/>
      </w:rPr>
    </w:pPr>
    <w:r w:rsidRPr="00A63B8F"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2" type="#_x0000_t202" style="position:absolute;margin-left:37.65pt;margin-top:33.9pt;width:12.85pt;height:12.15pt;z-index:-111184;mso-position-horizontal-relative:page;mso-position-vertical-relative:page" filled="f" stroked="f">
          <v:textbox inset="0,0,0,0">
            <w:txbxContent>
              <w:p w:rsidR="005B0C4E" w:rsidRDefault="005B0C4E">
                <w:pPr>
                  <w:spacing w:before="8"/>
                  <w:ind w:left="4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8"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A63B8F">
      <w:pict>
        <v:shape id="_x0000_s2051" type="#_x0000_t202" style="position:absolute;margin-left:187.4pt;margin-top:33.9pt;width:366.3pt;height:12.15pt;z-index:-111160;mso-position-horizontal-relative:page;mso-position-vertical-relative:page" filled="f" stroked="f">
          <v:textbox inset="0,0,0,0">
            <w:txbxContent>
              <w:p w:rsidR="005B0C4E" w:rsidRDefault="005B0C4E">
                <w:pPr>
                  <w:spacing w:before="6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Calibri"/>
                    <w:i/>
                    <w:w w:val="95"/>
                    <w:sz w:val="18"/>
                  </w:rPr>
                  <w:t>Response</w:t>
                </w:r>
                <w:r>
                  <w:rPr>
                    <w:rFonts w:ascii="Arial"/>
                    <w:w w:val="95"/>
                    <w:sz w:val="18"/>
                  </w:rPr>
                  <w:t>/Whitehouse: Dying for the Group: Towards a General Theory of Extreme Self-Sacrifice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C4E" w:rsidRDefault="005B0C4E">
    <w:pPr>
      <w:pStyle w:val="BodyText"/>
      <w:spacing w:line="14" w:lineRule="auto"/>
      <w:rPr>
        <w:sz w:val="20"/>
      </w:rPr>
    </w:pPr>
    <w:r w:rsidRPr="00A63B8F"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41.5pt;margin-top:33.9pt;width:359.95pt;height:12.15pt;z-index:-111136;mso-position-horizontal-relative:page;mso-position-vertical-relative:page" filled="f" stroked="f">
          <v:textbox inset="0,0,0,0">
            <w:txbxContent>
              <w:p w:rsidR="005B0C4E" w:rsidRDefault="005B0C4E">
                <w:pPr>
                  <w:spacing w:before="6"/>
                  <w:ind w:left="20"/>
                  <w:rPr>
                    <w:rFonts w:ascii="Arial"/>
                    <w:sz w:val="18"/>
                  </w:rPr>
                </w:pPr>
                <w:r>
                  <w:rPr>
                    <w:rFonts w:ascii="Calibri"/>
                    <w:i/>
                    <w:sz w:val="18"/>
                  </w:rPr>
                  <w:t>Response</w:t>
                </w:r>
                <w:r>
                  <w:rPr>
                    <w:rFonts w:ascii="Arial"/>
                    <w:sz w:val="18"/>
                  </w:rPr>
                  <w:t>/Whitehouse: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Dying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for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the</w:t>
                </w:r>
                <w:r>
                  <w:rPr>
                    <w:rFonts w:ascii="Arial"/>
                    <w:spacing w:val="-2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group: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Towards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a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general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theory</w:t>
                </w:r>
                <w:r>
                  <w:rPr>
                    <w:rFonts w:ascii="Arial"/>
                    <w:spacing w:val="-24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of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extreme</w:t>
                </w:r>
                <w:r>
                  <w:rPr>
                    <w:rFonts w:ascii="Arial"/>
                    <w:spacing w:val="-2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self-sacrifice</w:t>
                </w:r>
              </w:p>
            </w:txbxContent>
          </v:textbox>
          <w10:wrap anchorx="page" anchory="page"/>
        </v:shape>
      </w:pict>
    </w:r>
    <w:r w:rsidRPr="00A63B8F">
      <w:pict>
        <v:shape id="_x0000_s2049" type="#_x0000_t202" style="position:absolute;margin-left:544.8pt;margin-top:33.9pt;width:12.85pt;height:12.15pt;z-index:-111112;mso-position-horizontal-relative:page;mso-position-vertical-relative:page" filled="f" stroked="f">
          <v:textbox inset="0,0,0,0">
            <w:txbxContent>
              <w:p w:rsidR="005B0C4E" w:rsidRDefault="005B0C4E">
                <w:pPr>
                  <w:spacing w:before="8"/>
                  <w:ind w:left="40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8"/>
                  </w:rP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E28B7"/>
    <w:multiLevelType w:val="hybridMultilevel"/>
    <w:tmpl w:val="4788AE8E"/>
    <w:lvl w:ilvl="0" w:tplc="267A9E4A">
      <w:start w:val="1"/>
      <w:numFmt w:val="decimal"/>
      <w:lvlText w:val="%1."/>
      <w:lvlJc w:val="left"/>
      <w:pPr>
        <w:ind w:left="408" w:hanging="218"/>
        <w:jc w:val="right"/>
      </w:pPr>
      <w:rPr>
        <w:rFonts w:ascii="Calibri" w:eastAsia="Calibri" w:hAnsi="Calibri" w:cs="Calibri" w:hint="default"/>
        <w:color w:val="DF3E31"/>
        <w:w w:val="106"/>
        <w:sz w:val="19"/>
        <w:szCs w:val="19"/>
      </w:rPr>
    </w:lvl>
    <w:lvl w:ilvl="1" w:tplc="EA5EB0FA">
      <w:numFmt w:val="bullet"/>
      <w:lvlText w:val="•"/>
      <w:lvlJc w:val="left"/>
      <w:pPr>
        <w:ind w:left="480" w:hanging="218"/>
      </w:pPr>
      <w:rPr>
        <w:rFonts w:hint="default"/>
      </w:rPr>
    </w:lvl>
    <w:lvl w:ilvl="2" w:tplc="14AED1A8">
      <w:numFmt w:val="bullet"/>
      <w:lvlText w:val="•"/>
      <w:lvlJc w:val="left"/>
      <w:pPr>
        <w:ind w:left="660" w:hanging="218"/>
      </w:pPr>
      <w:rPr>
        <w:rFonts w:hint="default"/>
      </w:rPr>
    </w:lvl>
    <w:lvl w:ilvl="3" w:tplc="D9B0E892">
      <w:numFmt w:val="bullet"/>
      <w:lvlText w:val="•"/>
      <w:lvlJc w:val="left"/>
      <w:pPr>
        <w:ind w:left="1238" w:hanging="218"/>
      </w:pPr>
      <w:rPr>
        <w:rFonts w:hint="default"/>
      </w:rPr>
    </w:lvl>
    <w:lvl w:ilvl="4" w:tplc="CD8E79F6">
      <w:numFmt w:val="bullet"/>
      <w:lvlText w:val="•"/>
      <w:lvlJc w:val="left"/>
      <w:pPr>
        <w:ind w:left="1816" w:hanging="218"/>
      </w:pPr>
      <w:rPr>
        <w:rFonts w:hint="default"/>
      </w:rPr>
    </w:lvl>
    <w:lvl w:ilvl="5" w:tplc="621677F6">
      <w:numFmt w:val="bullet"/>
      <w:lvlText w:val="•"/>
      <w:lvlJc w:val="left"/>
      <w:pPr>
        <w:ind w:left="2395" w:hanging="218"/>
      </w:pPr>
      <w:rPr>
        <w:rFonts w:hint="default"/>
      </w:rPr>
    </w:lvl>
    <w:lvl w:ilvl="6" w:tplc="8A383292">
      <w:numFmt w:val="bullet"/>
      <w:lvlText w:val="•"/>
      <w:lvlJc w:val="left"/>
      <w:pPr>
        <w:ind w:left="2973" w:hanging="218"/>
      </w:pPr>
      <w:rPr>
        <w:rFonts w:hint="default"/>
      </w:rPr>
    </w:lvl>
    <w:lvl w:ilvl="7" w:tplc="613CB176">
      <w:numFmt w:val="bullet"/>
      <w:lvlText w:val="•"/>
      <w:lvlJc w:val="left"/>
      <w:pPr>
        <w:ind w:left="3551" w:hanging="218"/>
      </w:pPr>
      <w:rPr>
        <w:rFonts w:hint="default"/>
      </w:rPr>
    </w:lvl>
    <w:lvl w:ilvl="8" w:tplc="9D1CD718">
      <w:numFmt w:val="bullet"/>
      <w:lvlText w:val="•"/>
      <w:lvlJc w:val="left"/>
      <w:pPr>
        <w:ind w:left="4130" w:hanging="218"/>
      </w:pPr>
      <w:rPr>
        <w:rFonts w:hint="default"/>
      </w:rPr>
    </w:lvl>
  </w:abstractNum>
  <w:abstractNum w:abstractNumId="1">
    <w:nsid w:val="7E9F5F8C"/>
    <w:multiLevelType w:val="hybridMultilevel"/>
    <w:tmpl w:val="ACD4CA28"/>
    <w:lvl w:ilvl="0" w:tplc="05C24A32">
      <w:start w:val="1"/>
      <w:numFmt w:val="decimal"/>
      <w:lvlText w:val="%1."/>
      <w:lvlJc w:val="left"/>
      <w:pPr>
        <w:ind w:left="514" w:hanging="144"/>
        <w:jc w:val="left"/>
      </w:pPr>
      <w:rPr>
        <w:rFonts w:ascii="PMingLiU" w:eastAsia="PMingLiU" w:hAnsi="PMingLiU" w:cs="PMingLiU" w:hint="default"/>
        <w:w w:val="98"/>
        <w:sz w:val="14"/>
        <w:szCs w:val="14"/>
      </w:rPr>
    </w:lvl>
    <w:lvl w:ilvl="1" w:tplc="F33856A8">
      <w:numFmt w:val="bullet"/>
      <w:lvlText w:val="•"/>
      <w:lvlJc w:val="left"/>
      <w:pPr>
        <w:ind w:left="560" w:hanging="144"/>
      </w:pPr>
      <w:rPr>
        <w:rFonts w:hint="default"/>
      </w:rPr>
    </w:lvl>
    <w:lvl w:ilvl="2" w:tplc="FB2A3514">
      <w:numFmt w:val="bullet"/>
      <w:lvlText w:val="•"/>
      <w:lvlJc w:val="left"/>
      <w:pPr>
        <w:ind w:left="1085" w:hanging="144"/>
      </w:pPr>
      <w:rPr>
        <w:rFonts w:hint="default"/>
      </w:rPr>
    </w:lvl>
    <w:lvl w:ilvl="3" w:tplc="C3A2A3D4">
      <w:numFmt w:val="bullet"/>
      <w:lvlText w:val="•"/>
      <w:lvlJc w:val="left"/>
      <w:pPr>
        <w:ind w:left="1610" w:hanging="144"/>
      </w:pPr>
      <w:rPr>
        <w:rFonts w:hint="default"/>
      </w:rPr>
    </w:lvl>
    <w:lvl w:ilvl="4" w:tplc="8FE257F0">
      <w:numFmt w:val="bullet"/>
      <w:lvlText w:val="•"/>
      <w:lvlJc w:val="left"/>
      <w:pPr>
        <w:ind w:left="2135" w:hanging="144"/>
      </w:pPr>
      <w:rPr>
        <w:rFonts w:hint="default"/>
      </w:rPr>
    </w:lvl>
    <w:lvl w:ilvl="5" w:tplc="FA36B3B6">
      <w:numFmt w:val="bullet"/>
      <w:lvlText w:val="•"/>
      <w:lvlJc w:val="left"/>
      <w:pPr>
        <w:ind w:left="2660" w:hanging="144"/>
      </w:pPr>
      <w:rPr>
        <w:rFonts w:hint="default"/>
      </w:rPr>
    </w:lvl>
    <w:lvl w:ilvl="6" w:tplc="DD3E4AD0">
      <w:numFmt w:val="bullet"/>
      <w:lvlText w:val="•"/>
      <w:lvlJc w:val="left"/>
      <w:pPr>
        <w:ind w:left="3186" w:hanging="144"/>
      </w:pPr>
      <w:rPr>
        <w:rFonts w:hint="default"/>
      </w:rPr>
    </w:lvl>
    <w:lvl w:ilvl="7" w:tplc="6ED42780">
      <w:numFmt w:val="bullet"/>
      <w:lvlText w:val="•"/>
      <w:lvlJc w:val="left"/>
      <w:pPr>
        <w:ind w:left="3711" w:hanging="144"/>
      </w:pPr>
      <w:rPr>
        <w:rFonts w:hint="default"/>
      </w:rPr>
    </w:lvl>
    <w:lvl w:ilvl="8" w:tplc="A3F4542A">
      <w:numFmt w:val="bullet"/>
      <w:lvlText w:val="•"/>
      <w:lvlJc w:val="left"/>
      <w:pPr>
        <w:ind w:left="4236" w:hanging="14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proofState w:spelling="clean" w:grammar="clean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compat>
    <w:ulTrailSpace/>
    <w:useFELayout/>
  </w:compat>
  <w:rsids>
    <w:rsidRoot w:val="008443D8"/>
    <w:rsid w:val="005B0C4E"/>
    <w:rsid w:val="00757753"/>
    <w:rsid w:val="008443D8"/>
    <w:rsid w:val="00A63B8F"/>
    <w:rsid w:val="00B73390"/>
    <w:rsid w:val="00C11E86"/>
    <w:rsid w:val="00E5376D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43D8"/>
    <w:rPr>
      <w:rFonts w:ascii="PMingLiU" w:eastAsia="PMingLiU" w:hAnsi="PMingLiU" w:cs="PMingLiU"/>
    </w:rPr>
  </w:style>
  <w:style w:type="paragraph" w:styleId="Heading1">
    <w:name w:val="heading 1"/>
    <w:basedOn w:val="Normal"/>
    <w:uiPriority w:val="1"/>
    <w:qFormat/>
    <w:rsid w:val="008443D8"/>
    <w:pPr>
      <w:ind w:left="108"/>
      <w:outlineLvl w:val="0"/>
    </w:pPr>
    <w:rPr>
      <w:rFonts w:ascii="Arial" w:eastAsia="Arial" w:hAnsi="Arial" w:cs="Arial"/>
      <w:sz w:val="36"/>
      <w:szCs w:val="36"/>
    </w:rPr>
  </w:style>
  <w:style w:type="paragraph" w:styleId="Heading2">
    <w:name w:val="heading 2"/>
    <w:basedOn w:val="Normal"/>
    <w:uiPriority w:val="1"/>
    <w:qFormat/>
    <w:rsid w:val="008443D8"/>
    <w:pPr>
      <w:ind w:left="190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Normal"/>
    <w:uiPriority w:val="1"/>
    <w:qFormat/>
    <w:rsid w:val="008443D8"/>
    <w:pPr>
      <w:spacing w:before="32"/>
      <w:ind w:left="190"/>
      <w:outlineLvl w:val="2"/>
    </w:pPr>
    <w:rPr>
      <w:rFonts w:ascii="Arial" w:eastAsia="Arial" w:hAnsi="Arial" w:cs="Arial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uiPriority w:val="1"/>
    <w:qFormat/>
    <w:rsid w:val="008443D8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8443D8"/>
    <w:pPr>
      <w:ind w:left="408" w:hanging="21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8443D8"/>
    <w:pPr>
      <w:spacing w:before="69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rsid w:val="00C11E86"/>
    <w:pPr>
      <w:widowControl/>
      <w:autoSpaceDE/>
      <w:autoSpaceDN/>
      <w:spacing w:beforeLines="1" w:afterLines="1"/>
    </w:pPr>
    <w:rPr>
      <w:rFonts w:ascii="Times" w:eastAsia="新細明體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11E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11E8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E86"/>
    <w:pPr>
      <w:widowControl/>
      <w:autoSpaceDE/>
      <w:autoSpaceDN/>
    </w:pPr>
    <w:rPr>
      <w:rFonts w:ascii="Lucida Grande" w:eastAsia="新細明體" w:hAnsi="Lucida Grande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E86"/>
    <w:rPr>
      <w:rFonts w:ascii="Lucida Grande" w:eastAsia="新細明體" w:hAnsi="Lucida Grande"/>
      <w:sz w:val="18"/>
      <w:szCs w:val="18"/>
    </w:rPr>
  </w:style>
  <w:style w:type="character" w:customStyle="1" w:styleId="toggle-text">
    <w:name w:val="toggle-text"/>
    <w:basedOn w:val="DefaultParagraphFont"/>
    <w:rsid w:val="00C11E86"/>
  </w:style>
  <w:style w:type="character" w:customStyle="1" w:styleId="mixed-citationjournal">
    <w:name w:val="mixed-citation journal"/>
    <w:basedOn w:val="DefaultParagraphFont"/>
    <w:rsid w:val="00C11E86"/>
  </w:style>
  <w:style w:type="character" w:customStyle="1" w:styleId="name">
    <w:name w:val="name"/>
    <w:basedOn w:val="DefaultParagraphFont"/>
    <w:rsid w:val="00C11E86"/>
  </w:style>
  <w:style w:type="character" w:customStyle="1" w:styleId="surname">
    <w:name w:val="surname"/>
    <w:basedOn w:val="DefaultParagraphFont"/>
    <w:rsid w:val="00C11E86"/>
  </w:style>
  <w:style w:type="character" w:customStyle="1" w:styleId="given-names">
    <w:name w:val="given-names"/>
    <w:basedOn w:val="DefaultParagraphFont"/>
    <w:rsid w:val="00C11E86"/>
  </w:style>
  <w:style w:type="character" w:customStyle="1" w:styleId="year">
    <w:name w:val="year"/>
    <w:basedOn w:val="DefaultParagraphFont"/>
    <w:rsid w:val="00C11E86"/>
  </w:style>
  <w:style w:type="character" w:customStyle="1" w:styleId="article-title">
    <w:name w:val="article-title"/>
    <w:basedOn w:val="DefaultParagraphFont"/>
    <w:rsid w:val="00C11E86"/>
  </w:style>
  <w:style w:type="character" w:customStyle="1" w:styleId="source">
    <w:name w:val="source"/>
    <w:basedOn w:val="DefaultParagraphFont"/>
    <w:rsid w:val="00C11E86"/>
  </w:style>
  <w:style w:type="character" w:customStyle="1" w:styleId="volume">
    <w:name w:val="volume"/>
    <w:basedOn w:val="DefaultParagraphFont"/>
    <w:rsid w:val="00C11E86"/>
  </w:style>
  <w:style w:type="character" w:customStyle="1" w:styleId="fpage">
    <w:name w:val="fpage"/>
    <w:basedOn w:val="DefaultParagraphFont"/>
    <w:rsid w:val="00C11E86"/>
  </w:style>
  <w:style w:type="character" w:customStyle="1" w:styleId="resolver-links">
    <w:name w:val="resolver-links"/>
    <w:basedOn w:val="DefaultParagraphFont"/>
    <w:rsid w:val="00C11E86"/>
  </w:style>
  <w:style w:type="character" w:customStyle="1" w:styleId="mixed-citationother">
    <w:name w:val="mixed-citation other"/>
    <w:basedOn w:val="DefaultParagraphFont"/>
    <w:rsid w:val="00C11E86"/>
  </w:style>
  <w:style w:type="character" w:styleId="Emphasis">
    <w:name w:val="Emphasis"/>
    <w:basedOn w:val="DefaultParagraphFont"/>
    <w:uiPriority w:val="20"/>
    <w:rsid w:val="00C11E86"/>
    <w:rPr>
      <w:i/>
    </w:rPr>
  </w:style>
  <w:style w:type="character" w:customStyle="1" w:styleId="mixed-citationbook">
    <w:name w:val="mixed-citation book"/>
    <w:basedOn w:val="DefaultParagraphFont"/>
    <w:rsid w:val="00C11E86"/>
  </w:style>
  <w:style w:type="character" w:customStyle="1" w:styleId="publisher-name">
    <w:name w:val="publisher-name"/>
    <w:basedOn w:val="DefaultParagraphFont"/>
    <w:rsid w:val="00C11E86"/>
  </w:style>
  <w:style w:type="character" w:customStyle="1" w:styleId="pub-iddoi">
    <w:name w:val="pub-id doi"/>
    <w:basedOn w:val="DefaultParagraphFont"/>
    <w:rsid w:val="00C11E86"/>
  </w:style>
  <w:style w:type="character" w:customStyle="1" w:styleId="issue">
    <w:name w:val="issue"/>
    <w:basedOn w:val="DefaultParagraphFont"/>
    <w:rsid w:val="00C11E86"/>
  </w:style>
  <w:style w:type="character" w:customStyle="1" w:styleId="lpage">
    <w:name w:val="lpage"/>
    <w:basedOn w:val="DefaultParagraphFont"/>
    <w:rsid w:val="00C11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7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0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2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2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00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2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0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8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1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82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0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6" w:color="C3BFB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20" Type="http://schemas.openxmlformats.org/officeDocument/2006/relationships/header" Target="header3.xml"/><Relationship Id="rId21" Type="http://schemas.openxmlformats.org/officeDocument/2006/relationships/header" Target="header4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www.newsweek.com/israel-green-lighted-unlawful-killing-unarmed-gaza-protesters-says-human-869588" TargetMode="External"/><Relationship Id="rId11" Type="http://schemas.openxmlformats.org/officeDocument/2006/relationships/hyperlink" Target="http://www.cdainc.com/cdawww/pdf/casestudy/steps_rwanda_case_study_Pdf.pdf" TargetMode="External"/><Relationship Id="rId12" Type="http://schemas.openxmlformats.org/officeDocument/2006/relationships/hyperlink" Target="https://wagingnonviolence.org/feature/tunisia-emerges-victorious-and-unarmed/" TargetMode="External"/><Relationship Id="rId13" Type="http://schemas.openxmlformats.org/officeDocument/2006/relationships/hyperlink" Target="https://doi.org/10.1080/2153599X.2017.1358208" TargetMode="External"/><Relationship Id="rId14" Type="http://schemas.openxmlformats.org/officeDocument/2006/relationships/hyperlink" Target="https://doi.org/10.1177/0022022116644983" TargetMode="External"/><Relationship Id="rId15" Type="http://schemas.openxmlformats.org/officeDocument/2006/relationships/hyperlink" Target="https://www.timesofisrael.com/what-made-muslim-albanians-risk-their-lives-to-save-jews-from-the-holocaust/" TargetMode="External"/><Relationship Id="rId16" Type="http://schemas.openxmlformats.org/officeDocument/2006/relationships/hyperlink" Target="https://www.independent.co.uk/news/world/asia/tiananmen-square-massacre-death-toll-secret-cable-british-ambassador-1989-alan-donald-a8126461.html" TargetMode="External"/><Relationship Id="rId17" Type="http://schemas.openxmlformats.org/officeDocument/2006/relationships/hyperlink" Target="http://jps.library.utoronto.ca/index.php/cie/article/download/17063/16059" TargetMode="External"/><Relationship Id="rId18" Type="http://schemas.openxmlformats.org/officeDocument/2006/relationships/hyperlink" Target="https://www.aljazeera.com/news/2015/04/arabs-reached-armenians-1915-massacre-150424102949363.html" TargetMode="External"/><Relationship Id="rId19" Type="http://schemas.openxmlformats.org/officeDocument/2006/relationships/hyperlink" Target="https://www.wsj.com/articles/at-least-16-palestinian-protesters-killed-as-u-s-opens-embassy-in-jerusalem-1526298531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hansen@york.cuny.edu" TargetMode="External"/><Relationship Id="rId6" Type="http://schemas.openxmlformats.org/officeDocument/2006/relationships/hyperlink" Target="https://www.york.cuny.edu/portal_college/ihansen" TargetMode="External"/><Relationship Id="rId7" Type="http://schemas.openxmlformats.org/officeDocument/2006/relationships/image" Target="media/image1.jpe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2694</Words>
  <Characters>15361</Characters>
  <Application>Microsoft Macintosh Word</Application>
  <DocSecurity>0</DocSecurity>
  <Lines>128</Lines>
  <Paragraphs>30</Paragraphs>
  <ScaleCrop>false</ScaleCrop>
  <Company>York College, CUNY</Company>
  <LinksUpToDate>false</LinksUpToDate>
  <CharactersWithSpaces>18864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S0140525X18000249jra 1..62</dc:title>
  <cp:lastModifiedBy>Ian Hansen</cp:lastModifiedBy>
  <cp:revision>6</cp:revision>
  <dcterms:created xsi:type="dcterms:W3CDTF">2019-02-06T18:33:00Z</dcterms:created>
  <dcterms:modified xsi:type="dcterms:W3CDTF">2019-12-13T18:39:00Z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Arbortext Advanced Print Publisher 10.0.1465/W Unicode</vt:lpwstr>
  </property>
  <property fmtid="{D5CDD505-2E9C-101B-9397-08002B2CF9AE}" pid="4" name="LastSaved">
    <vt:filetime>2019-02-06T00:00:00Z</vt:filetime>
  </property>
</Properties>
</file>