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EE" w:rsidRDefault="001E1EEE" w:rsidP="001E1EEE">
      <w:bookmarkStart w:id="0" w:name="_GoBack"/>
      <w:bookmarkEnd w:id="0"/>
      <w:r>
        <w:t>Eng. 126</w:t>
      </w:r>
    </w:p>
    <w:p w:rsidR="00EF6AED" w:rsidRDefault="00EF6AED" w:rsidP="001E1EEE">
      <w:r>
        <w:t>Analysis Paragraph Practice</w:t>
      </w:r>
    </w:p>
    <w:p w:rsidR="00EF6AED" w:rsidRDefault="00EF6AED" w:rsidP="00E42FB6">
      <w:pPr>
        <w:ind w:firstLine="720"/>
      </w:pPr>
    </w:p>
    <w:p w:rsidR="00EF6AED" w:rsidRPr="001E1EEE" w:rsidRDefault="001E1EEE" w:rsidP="001E1EEE">
      <w:pPr>
        <w:jc w:val="center"/>
        <w:rPr>
          <w:b/>
        </w:rPr>
      </w:pPr>
      <w:r w:rsidRPr="001E1EEE">
        <w:rPr>
          <w:b/>
        </w:rPr>
        <w:t>A</w:t>
      </w:r>
    </w:p>
    <w:p w:rsidR="00EF6AED" w:rsidRDefault="006C70AC" w:rsidP="001E1EEE">
      <w:pPr>
        <w:pStyle w:val="ListParagraph"/>
        <w:ind w:left="0" w:firstLine="720"/>
      </w:pPr>
      <w:r>
        <w:t xml:space="preserve">In his “Self Actualization and Beyond,” Maslow refers to what he has termed </w:t>
      </w:r>
      <w:r w:rsidR="00EF6AED">
        <w:t>“</w:t>
      </w:r>
      <w:r>
        <w:t>meta-needs</w:t>
      </w:r>
      <w:r w:rsidR="003B1A24">
        <w:t>,”</w:t>
      </w:r>
      <w:r>
        <w:t xml:space="preserve"> basic intrinsic needs in all of us that give a meaning to </w:t>
      </w:r>
      <w:r w:rsidR="008176CA">
        <w:t>life (</w:t>
      </w:r>
      <w:r w:rsidR="003B1A24">
        <w:t>110)</w:t>
      </w:r>
      <w:r>
        <w:t xml:space="preserve">. </w:t>
      </w:r>
      <w:r w:rsidR="00EF6AED">
        <w:t xml:space="preserve"> We might effectively apply this notion to the condition in which Nora finds herself.</w:t>
      </w:r>
    </w:p>
    <w:p w:rsidR="00EF6AED" w:rsidRDefault="00EF6AED" w:rsidP="00EF6AED">
      <w:pPr>
        <w:ind w:firstLine="720"/>
      </w:pPr>
      <w:r>
        <w:t xml:space="preserve"> </w:t>
      </w:r>
    </w:p>
    <w:p w:rsidR="005C7DC9" w:rsidRDefault="006C70AC">
      <w:r w:rsidRPr="006F0FA5">
        <w:rPr>
          <w:i/>
        </w:rPr>
        <w:t>Finish the paragraph</w:t>
      </w:r>
      <w:r w:rsidR="00EF6AED">
        <w:rPr>
          <w:i/>
        </w:rPr>
        <w:t xml:space="preserve"> in </w:t>
      </w:r>
      <w:r w:rsidR="001E1EEE">
        <w:rPr>
          <w:i/>
        </w:rPr>
        <w:t>five or six</w:t>
      </w:r>
      <w:r w:rsidR="00EF6AED">
        <w:rPr>
          <w:i/>
        </w:rPr>
        <w:t xml:space="preserve"> sentences. In it, you should round out the discussion of Maslow’s idea about “Meta-needs.” In other words, explain Maslow’s concept more fully. From there, apply this idea to the character of </w:t>
      </w:r>
      <w:proofErr w:type="gramStart"/>
      <w:r w:rsidR="00EF6AED">
        <w:rPr>
          <w:i/>
        </w:rPr>
        <w:t>Nora</w:t>
      </w:r>
      <w:r w:rsidR="001E1EEE">
        <w:rPr>
          <w:i/>
        </w:rPr>
        <w:t xml:space="preserve"> </w:t>
      </w:r>
      <w:r w:rsidR="003427AE">
        <w:rPr>
          <w:i/>
        </w:rPr>
        <w:t>,</w:t>
      </w:r>
      <w:proofErr w:type="gramEnd"/>
      <w:r w:rsidR="001E1EEE">
        <w:rPr>
          <w:i/>
        </w:rPr>
        <w:t xml:space="preserve"> </w:t>
      </w:r>
      <w:r w:rsidR="005C7DC9" w:rsidRPr="006F0FA5">
        <w:rPr>
          <w:i/>
        </w:rPr>
        <w:t xml:space="preserve">providing at least one relevant quote from the </w:t>
      </w:r>
      <w:r w:rsidR="001E1EEE">
        <w:rPr>
          <w:i/>
        </w:rPr>
        <w:t>literary text</w:t>
      </w:r>
      <w:r w:rsidR="005C7DC9" w:rsidRPr="006F0FA5">
        <w:rPr>
          <w:i/>
        </w:rPr>
        <w:t>.</w:t>
      </w:r>
      <w:r w:rsidR="00EF6AED">
        <w:rPr>
          <w:i/>
        </w:rPr>
        <w:t xml:space="preserve"> </w:t>
      </w:r>
    </w:p>
    <w:p w:rsidR="005C7DC9" w:rsidRDefault="005C7DC9"/>
    <w:p w:rsidR="006F0FA5" w:rsidRPr="001E1EEE" w:rsidRDefault="001E1EEE" w:rsidP="001E1EEE">
      <w:pPr>
        <w:jc w:val="center"/>
        <w:rPr>
          <w:b/>
        </w:rPr>
      </w:pPr>
      <w:r w:rsidRPr="001E1EEE">
        <w:rPr>
          <w:b/>
        </w:rPr>
        <w:t>B</w:t>
      </w:r>
    </w:p>
    <w:p w:rsidR="006F0FA5" w:rsidRDefault="005C7DC9" w:rsidP="001E1EEE">
      <w:pPr>
        <w:ind w:firstLine="720"/>
      </w:pPr>
      <w:r>
        <w:t xml:space="preserve">It is apparent that Nora’s own sense of herself throughout the play is tied inextricably to </w:t>
      </w:r>
      <w:proofErr w:type="spellStart"/>
      <w:r>
        <w:t>Torvald</w:t>
      </w:r>
      <w:proofErr w:type="spellEnd"/>
      <w:r>
        <w:t xml:space="preserve"> and </w:t>
      </w:r>
      <w:proofErr w:type="gramStart"/>
      <w:r>
        <w:t>his own</w:t>
      </w:r>
      <w:proofErr w:type="gramEnd"/>
      <w:r>
        <w:t xml:space="preserve"> views and perceptions of Nora. Nora’s own identity cannot be defined apart from </w:t>
      </w:r>
      <w:proofErr w:type="spellStart"/>
      <w:r>
        <w:t>Torvald</w:t>
      </w:r>
      <w:proofErr w:type="spellEnd"/>
      <w:r>
        <w:t>. This is illustrated cle</w:t>
      </w:r>
      <w:r w:rsidR="00E42FB6">
        <w:t xml:space="preserve">arly when Nora urges </w:t>
      </w:r>
      <w:proofErr w:type="spellStart"/>
      <w:r w:rsidR="00E42FB6">
        <w:t>Torvald</w:t>
      </w:r>
      <w:proofErr w:type="spellEnd"/>
      <w:r w:rsidR="00E42FB6">
        <w:t xml:space="preserve"> to guide her, “</w:t>
      </w:r>
      <w:r w:rsidR="001E1EEE">
        <w:t>to sit down and play for [her]…</w:t>
      </w:r>
      <w:r w:rsidR="007D368C">
        <w:t>.</w:t>
      </w:r>
      <w:r w:rsidR="001E1EEE">
        <w:t>Direct[her]…</w:t>
      </w:r>
      <w:r w:rsidR="007D368C">
        <w:t>.</w:t>
      </w:r>
      <w:r w:rsidR="00E42FB6">
        <w:t>Teac</w:t>
      </w:r>
      <w:r w:rsidR="001E1EEE">
        <w:t>h her, the way [he] always [has]”</w:t>
      </w:r>
      <w:r w:rsidR="00E42FB6">
        <w:t xml:space="preserve">(889). Although these words are in direct reference to practicing for the fancy ball dance performance, they can also apply to the entire state of the relationship between Nora and </w:t>
      </w:r>
      <w:proofErr w:type="spellStart"/>
      <w:r w:rsidR="00E42FB6">
        <w:t>Torvald</w:t>
      </w:r>
      <w:proofErr w:type="spellEnd"/>
      <w:r w:rsidR="00E42FB6">
        <w:t xml:space="preserve">, a state of utter dependence of one on the other.  This state of dependence and its harmful effects can to some extent </w:t>
      </w:r>
      <w:r w:rsidR="003427AE">
        <w:t xml:space="preserve">be </w:t>
      </w:r>
      <w:r w:rsidR="00E42FB6">
        <w:t>explained by wh</w:t>
      </w:r>
      <w:r w:rsidR="006F0FA5">
        <w:t xml:space="preserve">at Mark </w:t>
      </w:r>
      <w:proofErr w:type="spellStart"/>
      <w:r w:rsidR="006F0FA5">
        <w:t>Karpel</w:t>
      </w:r>
      <w:proofErr w:type="spellEnd"/>
      <w:r w:rsidR="006F0FA5">
        <w:t xml:space="preserve"> refers to as “ambivalent fusion”…</w:t>
      </w:r>
    </w:p>
    <w:p w:rsidR="005C7DC9" w:rsidRDefault="006F0FA5" w:rsidP="006F0FA5">
      <w:pPr>
        <w:rPr>
          <w:i/>
        </w:rPr>
      </w:pPr>
      <w:r w:rsidRPr="006F0FA5">
        <w:rPr>
          <w:i/>
        </w:rPr>
        <w:t xml:space="preserve">Finish the paragraph, explaining </w:t>
      </w:r>
      <w:proofErr w:type="spellStart"/>
      <w:r w:rsidRPr="006F0FA5">
        <w:rPr>
          <w:i/>
        </w:rPr>
        <w:t>Karpel’s</w:t>
      </w:r>
      <w:proofErr w:type="spellEnd"/>
      <w:r w:rsidRPr="006F0FA5">
        <w:rPr>
          <w:i/>
        </w:rPr>
        <w:t xml:space="preserve"> notion of ambivalent fusion and how it relates to Nora and </w:t>
      </w:r>
      <w:proofErr w:type="spellStart"/>
      <w:r w:rsidRPr="006F0FA5">
        <w:rPr>
          <w:i/>
        </w:rPr>
        <w:t>Torvald</w:t>
      </w:r>
      <w:proofErr w:type="spellEnd"/>
      <w:r w:rsidRPr="006F0FA5">
        <w:rPr>
          <w:i/>
        </w:rPr>
        <w:t xml:space="preserve">.  Pay particular attention to the relational forms or patterns </w:t>
      </w:r>
      <w:proofErr w:type="spellStart"/>
      <w:r w:rsidRPr="006F0FA5">
        <w:rPr>
          <w:i/>
        </w:rPr>
        <w:t>Karpel</w:t>
      </w:r>
      <w:proofErr w:type="spellEnd"/>
      <w:r w:rsidRPr="006F0FA5">
        <w:rPr>
          <w:i/>
        </w:rPr>
        <w:t xml:space="preserve"> describes on </w:t>
      </w:r>
      <w:r w:rsidR="003427AE">
        <w:rPr>
          <w:i/>
        </w:rPr>
        <w:t>pages</w:t>
      </w:r>
      <w:r w:rsidRPr="006F0FA5">
        <w:rPr>
          <w:i/>
        </w:rPr>
        <w:t xml:space="preserve"> 812 and 813</w:t>
      </w:r>
      <w:r w:rsidR="001E1EEE">
        <w:rPr>
          <w:i/>
        </w:rPr>
        <w:t xml:space="preserve">. </w:t>
      </w:r>
    </w:p>
    <w:p w:rsidR="008176CA" w:rsidRDefault="008176CA" w:rsidP="006F0FA5">
      <w:pPr>
        <w:rPr>
          <w:i/>
        </w:rPr>
      </w:pPr>
    </w:p>
    <w:p w:rsidR="008176CA" w:rsidRPr="008176CA" w:rsidRDefault="008176CA" w:rsidP="008176CA">
      <w:pPr>
        <w:jc w:val="center"/>
        <w:rPr>
          <w:b/>
        </w:rPr>
      </w:pPr>
      <w:r w:rsidRPr="008176CA">
        <w:rPr>
          <w:b/>
        </w:rPr>
        <w:t>C</w:t>
      </w:r>
    </w:p>
    <w:p w:rsidR="008176CA" w:rsidRPr="008176CA" w:rsidRDefault="008176CA">
      <w:r w:rsidRPr="008176CA">
        <w:t>Locate</w:t>
      </w:r>
      <w:r>
        <w:t xml:space="preserve"> a key concept in Erving Goffman’s introduction to </w:t>
      </w:r>
      <w:r>
        <w:rPr>
          <w:i/>
        </w:rPr>
        <w:t xml:space="preserve">The Presentation of Self in Everyday Life, </w:t>
      </w:r>
      <w:r w:rsidRPr="008176CA">
        <w:t>and</w:t>
      </w:r>
      <w:r>
        <w:t xml:space="preserve"> craft a paragraph in which you clarify for your reader your understanding of that concept, and discuss how that concept might be applied to one of the characters in </w:t>
      </w:r>
      <w:r>
        <w:rPr>
          <w:i/>
        </w:rPr>
        <w:t xml:space="preserve">A Doll’s </w:t>
      </w:r>
      <w:proofErr w:type="gramStart"/>
      <w:r>
        <w:rPr>
          <w:i/>
        </w:rPr>
        <w:t xml:space="preserve">House </w:t>
      </w:r>
      <w:r w:rsidR="003427AE">
        <w:t>.</w:t>
      </w:r>
      <w:proofErr w:type="gramEnd"/>
    </w:p>
    <w:sectPr w:rsidR="008176CA" w:rsidRPr="008176CA" w:rsidSect="00A3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8462D"/>
    <w:multiLevelType w:val="hybridMultilevel"/>
    <w:tmpl w:val="CD141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AC"/>
    <w:rsid w:val="001E1EEE"/>
    <w:rsid w:val="0024786A"/>
    <w:rsid w:val="003304FE"/>
    <w:rsid w:val="003427AE"/>
    <w:rsid w:val="003B1A24"/>
    <w:rsid w:val="003B6FF1"/>
    <w:rsid w:val="005C7DC9"/>
    <w:rsid w:val="006834CD"/>
    <w:rsid w:val="006C70AC"/>
    <w:rsid w:val="006F0FA5"/>
    <w:rsid w:val="006F5723"/>
    <w:rsid w:val="007D368C"/>
    <w:rsid w:val="008176CA"/>
    <w:rsid w:val="00A34130"/>
    <w:rsid w:val="00B35E65"/>
    <w:rsid w:val="00E42FB6"/>
    <w:rsid w:val="00E70C17"/>
    <w:rsid w:val="00E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dditoro</dc:creator>
  <cp:lastModifiedBy>Heather Robinson</cp:lastModifiedBy>
  <cp:revision>2</cp:revision>
  <cp:lastPrinted>2014-04-09T11:41:00Z</cp:lastPrinted>
  <dcterms:created xsi:type="dcterms:W3CDTF">2015-06-23T13:20:00Z</dcterms:created>
  <dcterms:modified xsi:type="dcterms:W3CDTF">2015-06-23T13:20:00Z</dcterms:modified>
</cp:coreProperties>
</file>